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8A3FE6"/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2"/>
      </w:tblGrid>
      <w:tr w:rsidR="00C159F4" w:rsidRPr="006D0DB5" w:rsidTr="008A3FE6">
        <w:tc>
          <w:tcPr>
            <w:tcW w:w="4927" w:type="dxa"/>
          </w:tcPr>
          <w:p w:rsidR="00D30A33" w:rsidRDefault="00D30A33" w:rsidP="00D30A33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D30A33" w:rsidRDefault="00D30A33" w:rsidP="00D30A33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D30A33" w:rsidRDefault="00D30A33" w:rsidP="00D30A33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D30A33" w:rsidRDefault="00D30A33" w:rsidP="00D30A33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станция </w:t>
            </w:r>
          </w:p>
          <w:p w:rsidR="00D30A33" w:rsidRDefault="00D30A33" w:rsidP="00D30A33">
            <w:pPr>
              <w:keepNext/>
              <w:widowControl/>
              <w:tabs>
                <w:tab w:val="left" w:pos="1703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Клявлино</w:t>
            </w:r>
          </w:p>
          <w:p w:rsidR="00D30A33" w:rsidRDefault="00D30A33" w:rsidP="00D30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D30A33" w:rsidRDefault="00D30A33" w:rsidP="00D30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D30A33" w:rsidRDefault="00D30A33" w:rsidP="00D30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D30A33" w:rsidRDefault="00D30A33" w:rsidP="00D30A33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159F4" w:rsidRPr="00461230" w:rsidRDefault="00D30A33" w:rsidP="002A0EF4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23.08.2023г. №</w:t>
            </w:r>
            <w:r w:rsidR="007E3A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859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2A0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40CBD"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 w:rsidR="00540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</w:t>
      </w:r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от 27.07.2010 г. № 210-ФЗ «Об организации предоставления государственных и муниципальных услуг», постановлением </w:t>
      </w:r>
      <w:r w:rsidR="009C1A0B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A22AE6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руководствуясь </w:t>
      </w:r>
      <w:r w:rsidR="009C1A0B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Уставом сельского поселения </w:t>
      </w:r>
      <w:r w:rsidR="00D30A33" w:rsidRPr="0092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станция Клявлино</w:t>
      </w:r>
      <w:r w:rsidR="00D30A33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9C1A0B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муниципального района Клявлинский Самарской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="00D30A33"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proofErr w:type="gramEnd"/>
      <w:r w:rsidR="00F95A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редоставлени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разрешения на отклонение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предельных параметров разрешенног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строительства, реконструкции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D30A33"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9218E2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станция Клявлино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муниципального района Клявлинский Самарской </w:t>
      </w:r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области от </w:t>
      </w:r>
      <w:r w:rsidR="00E526A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30</w:t>
      </w:r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.0</w:t>
      </w:r>
      <w:r w:rsidR="00E526A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7</w:t>
      </w:r>
      <w:bookmarkStart w:id="0" w:name="_GoBack"/>
      <w:bookmarkEnd w:id="0"/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.202</w:t>
      </w:r>
      <w:r w:rsidR="00E526A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1 г. № 67</w:t>
      </w:r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«Об утверждении Административного  регламента предос</w:t>
      </w:r>
      <w:r w:rsidR="00A22AE6"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тавления </w:t>
      </w:r>
      <w:r w:rsidRPr="009218E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муниципальной услуги «Предоставление разрешения на отклонение  от предельных параметров разрешенного строительства, реконструкции  объекта капитального строительства». 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D30A33" w:rsidRPr="009C1A0B">
        <w:rPr>
          <w:rFonts w:ascii="Times New Roman" w:hAnsi="Times New Roman" w:cs="Times New Roman"/>
          <w:sz w:val="28"/>
          <w:szCs w:val="28"/>
        </w:rPr>
        <w:t xml:space="preserve">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0A33" w:rsidRPr="00D30A33" w:rsidRDefault="00D30A33" w:rsidP="00D30A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 станция Клявлино</w:t>
      </w:r>
    </w:p>
    <w:p w:rsidR="00D30A33" w:rsidRPr="00D30A33" w:rsidRDefault="00D30A33" w:rsidP="00D30A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</w:t>
      </w:r>
    </w:p>
    <w:p w:rsidR="00D30A33" w:rsidRPr="00D30A33" w:rsidRDefault="00D30A33" w:rsidP="00D30A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                            </w:t>
      </w: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</w:t>
      </w:r>
      <w:proofErr w:type="spellStart"/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Ю.Д.Иванов</w:t>
      </w:r>
      <w:proofErr w:type="spellEnd"/>
    </w:p>
    <w:p w:rsidR="00D30A33" w:rsidRPr="00D30A33" w:rsidRDefault="00D30A33" w:rsidP="00D30A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0A33" w:rsidRPr="00D30A33" w:rsidRDefault="00D30A33" w:rsidP="00D30A3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0A33" w:rsidRPr="00D30A33" w:rsidRDefault="00D30A33" w:rsidP="00D30A33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30A33" w:rsidRPr="00D30A33" w:rsidRDefault="00D30A33" w:rsidP="00D30A33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218E2" w:rsidRDefault="009218E2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FE3272" w:rsidRDefault="00FE3272" w:rsidP="00BC2C6D">
      <w:pPr>
        <w:pStyle w:val="70"/>
        <w:shd w:val="clear" w:color="auto" w:fill="auto"/>
        <w:spacing w:before="0"/>
        <w:ind w:right="-8" w:firstLine="0"/>
      </w:pPr>
    </w:p>
    <w:p w:rsidR="009B06EB" w:rsidRDefault="009B06E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  <w:r w:rsidR="00843DD1" w:rsidRPr="00843DD1">
        <w:rPr>
          <w:b w:val="0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 xml:space="preserve">сельского поселения </w:t>
      </w:r>
      <w:r w:rsidR="00D30A33" w:rsidRPr="00D30A33">
        <w:rPr>
          <w:b w:val="0"/>
        </w:rPr>
        <w:t>станция Клявлино</w:t>
      </w:r>
      <w:r w:rsidR="00D30A33" w:rsidRPr="00A009F1">
        <w:rPr>
          <w:rFonts w:eastAsia="Calibri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Pr="00E32E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D30A33">
        <w:rPr>
          <w:b w:val="0"/>
        </w:rPr>
        <w:t>23.08.2023 г</w:t>
      </w:r>
      <w:r w:rsidR="00843DD1" w:rsidRPr="00E32E3C">
        <w:rPr>
          <w:b w:val="0"/>
        </w:rPr>
        <w:t xml:space="preserve"> №</w:t>
      </w:r>
      <w:r w:rsidR="009218E2">
        <w:rPr>
          <w:b w:val="0"/>
        </w:rPr>
        <w:t xml:space="preserve"> 6</w:t>
      </w:r>
      <w:r w:rsidR="002A0EF4">
        <w:rPr>
          <w:b w:val="0"/>
        </w:rPr>
        <w:t>8</w:t>
      </w:r>
      <w:r w:rsidR="00843DD1" w:rsidRPr="00E32E3C">
        <w:rPr>
          <w:b w:val="0"/>
        </w:rPr>
        <w:t xml:space="preserve"> 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64CD1">
        <w:t>» на территории</w:t>
      </w:r>
      <w:r w:rsidR="00956A29">
        <w:t xml:space="preserve"> </w:t>
      </w:r>
      <w:r w:rsidR="00D30A33">
        <w:t xml:space="preserve">сельского поселения станция Клявлино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 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вариант)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B54E70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B54E70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B54E70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670033" w:rsidRDefault="00670033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74060C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3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D30A33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D41F2" w:rsidRPr="00780D2B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="00B54E70" w:rsidRPr="00780D2B">
        <w:rPr>
          <w:rFonts w:ascii="Times New Roman" w:hAnsi="Times New Roman" w:cs="Times New Roman"/>
          <w:sz w:val="28"/>
          <w:szCs w:val="28"/>
        </w:rPr>
        <w:t>1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780D2B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 В электронной форме посредством ЕПГУ</w:t>
      </w:r>
      <w:r w:rsidR="009D1523" w:rsidRPr="00780D2B">
        <w:rPr>
          <w:rFonts w:ascii="Times New Roman" w:hAnsi="Times New Roman" w:cs="Times New Roman"/>
          <w:sz w:val="28"/>
          <w:szCs w:val="28"/>
        </w:rPr>
        <w:t>:</w:t>
      </w:r>
    </w:p>
    <w:p w:rsidR="004D41F2" w:rsidRPr="00780D2B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4D41F2" w:rsidRPr="00780D2B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б)</w:t>
      </w:r>
      <w:r w:rsidRPr="00780D2B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780D2B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</w:t>
      </w:r>
      <w:r w:rsidR="00270A0E" w:rsidRPr="00780D2B">
        <w:rPr>
          <w:rFonts w:ascii="Times New Roman" w:hAnsi="Times New Roman" w:cs="Times New Roman"/>
          <w:sz w:val="28"/>
          <w:szCs w:val="28"/>
        </w:rPr>
        <w:t>е</w:t>
      </w:r>
      <w:r w:rsidRPr="00780D2B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регламента.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>
        <w:rPr>
          <w:rFonts w:ascii="Times New Roman" w:hAnsi="Times New Roman" w:cs="Times New Roman"/>
          <w:sz w:val="28"/>
          <w:szCs w:val="28"/>
        </w:rPr>
        <w:t>.</w:t>
      </w:r>
    </w:p>
    <w:p w:rsidR="004D41F2" w:rsidRPr="00780D2B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780D2B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780D2B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CA38A8" w:rsidRPr="00780D2B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</w:t>
      </w:r>
      <w:r w:rsidR="00105A8E">
        <w:rPr>
          <w:rFonts w:ascii="Times New Roman" w:hAnsi="Times New Roman" w:cs="Times New Roman"/>
          <w:sz w:val="28"/>
          <w:szCs w:val="28"/>
        </w:rPr>
        <w:t>и Заявитель самостоятельно пред</w:t>
      </w:r>
      <w:r w:rsidR="00CA38A8" w:rsidRPr="00780D2B">
        <w:rPr>
          <w:rFonts w:ascii="Times New Roman" w:hAnsi="Times New Roman" w:cs="Times New Roman"/>
          <w:sz w:val="28"/>
          <w:szCs w:val="28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780D2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EE" w:rsidRPr="004A0B25">
        <w:rPr>
          <w:rFonts w:ascii="Times New Roman" w:hAnsi="Times New Roman" w:cs="Times New Roman"/>
          <w:sz w:val="28"/>
          <w:szCs w:val="28"/>
        </w:rPr>
        <w:t>ЕСИА</w:t>
      </w:r>
      <w:r w:rsidRPr="004A0B25">
        <w:rPr>
          <w:rFonts w:ascii="Times New Roman" w:hAnsi="Times New Roman" w:cs="Times New Roman"/>
          <w:sz w:val="28"/>
          <w:szCs w:val="28"/>
        </w:rPr>
        <w:t>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4A0B25">
        <w:rPr>
          <w:rFonts w:ascii="Times New Roman" w:hAnsi="Times New Roman" w:cs="Times New Roman"/>
          <w:sz w:val="28"/>
          <w:szCs w:val="28"/>
        </w:rPr>
        <w:t>ЕСИА</w:t>
      </w:r>
      <w:r w:rsidRPr="00780D2B">
        <w:rPr>
          <w:rFonts w:ascii="Times New Roman" w:hAnsi="Times New Roman" w:cs="Times New Roman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780D2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80D2B">
        <w:rPr>
          <w:rFonts w:ascii="Times New Roman" w:eastAsia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780D2B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780D2B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D539CE" w:rsidRPr="00780D2B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) </w:t>
      </w:r>
      <w:r w:rsidR="000F0D45" w:rsidRPr="00780D2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</w:t>
      </w:r>
      <w:r w:rsidR="000F0D45" w:rsidRPr="00780D2B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 </w:t>
      </w:r>
      <w:r w:rsidR="000F0D45" w:rsidRPr="00780D2B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</w:t>
      </w:r>
      <w:r w:rsidR="00D539CE" w:rsidRPr="00780D2B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0F0D45" w:rsidRPr="004A0B25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</w:t>
      </w:r>
      <w:r w:rsidR="000F0D45" w:rsidRPr="00780D2B">
        <w:rPr>
          <w:rFonts w:ascii="Times New Roman" w:hAnsi="Times New Roman" w:cs="Times New Roman"/>
          <w:sz w:val="28"/>
          <w:szCs w:val="28"/>
        </w:rPr>
        <w:t>) нотариально заверенное согласие в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сех правообладателей земельного </w:t>
      </w:r>
      <w:r w:rsidR="000F0D45" w:rsidRPr="00780D2B">
        <w:rPr>
          <w:rFonts w:ascii="Times New Roman" w:hAnsi="Times New Roman" w:cs="Times New Roman"/>
          <w:sz w:val="28"/>
          <w:szCs w:val="28"/>
        </w:rPr>
        <w:t>участка и/или объекта капитального стр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оительства, в отношении которых </w:t>
      </w:r>
      <w:r w:rsidR="000F0D45" w:rsidRPr="00780D2B">
        <w:rPr>
          <w:rFonts w:ascii="Times New Roman" w:hAnsi="Times New Roman" w:cs="Times New Roman"/>
          <w:sz w:val="28"/>
          <w:szCs w:val="28"/>
        </w:rPr>
        <w:t>запрашивается разрешение на откл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="000F0D45" w:rsidRPr="00780D2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строительства, </w:t>
      </w:r>
      <w:r w:rsidR="000F0D45" w:rsidRPr="00780D2B">
        <w:rPr>
          <w:rFonts w:ascii="Times New Roman" w:hAnsi="Times New Roman" w:cs="Times New Roman"/>
          <w:sz w:val="28"/>
          <w:szCs w:val="28"/>
        </w:rPr>
        <w:t>либо документ, удостоверяющий полномочия заявителя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 как представителя всех </w:t>
      </w:r>
      <w:r w:rsidR="000F0D45" w:rsidRPr="00780D2B">
        <w:rPr>
          <w:rFonts w:ascii="Times New Roman" w:hAnsi="Times New Roman" w:cs="Times New Roman"/>
          <w:sz w:val="28"/>
          <w:szCs w:val="28"/>
        </w:rPr>
        <w:t>правообладателей земельного участка и/или объ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4A0B25">
        <w:rPr>
          <w:rFonts w:ascii="Times New Roman" w:hAnsi="Times New Roman" w:cs="Times New Roman"/>
          <w:sz w:val="28"/>
          <w:szCs w:val="28"/>
        </w:rPr>
        <w:t>при направлении заявления.</w:t>
      </w:r>
    </w:p>
    <w:p w:rsidR="003F3895" w:rsidRPr="00780D2B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780D2B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BE6618" w:rsidRPr="00780D2B">
        <w:rPr>
          <w:rFonts w:ascii="Times New Roman" w:hAnsi="Times New Roman" w:cs="Times New Roman"/>
          <w:sz w:val="28"/>
          <w:szCs w:val="28"/>
        </w:rPr>
        <w:t>ыписк</w:t>
      </w:r>
      <w:r w:rsidR="00B903AF" w:rsidRPr="00780D2B">
        <w:rPr>
          <w:rFonts w:ascii="Times New Roman" w:hAnsi="Times New Roman" w:cs="Times New Roman"/>
          <w:sz w:val="28"/>
          <w:szCs w:val="28"/>
        </w:rPr>
        <w:t>у</w:t>
      </w:r>
      <w:r w:rsidR="00BE6618" w:rsidRPr="00780D2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780D2B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B903AF" w:rsidRPr="00780D2B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недвижимости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 объект капитально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го строительства;</w:t>
      </w:r>
    </w:p>
    <w:p w:rsidR="003F3895" w:rsidRPr="00780D2B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 случае обращения юридическог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 лица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выписк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в случае обращения индивидуального предпринимателя выписк</w:t>
      </w:r>
      <w:r w:rsidR="005F61A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4F1E72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Непредставление (несвоеврем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енное представление) указанными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органами государственной власти, стру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ктурными подразделениями органа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государственной власти субъекта Российско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й Федерации или органа местного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самоуправления документов и сведений не может яв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ляться основанием для отказа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предоставлении 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F3895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в, содержащих сведения, которые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находятся в распоряжении государств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енных органов, органов местного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самоуправления и подведомственных госу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дарственным органам или органам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местного самоуправления организаций, не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является основанием для отказа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заявителю в предоставлении муниципальной услуги.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услуги.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7DB" w:rsidRPr="00780D2B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D72E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  <w:t xml:space="preserve">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Административного регламента, подлежащих обязательному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A0259F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9453C" w:rsidRPr="00A0259F">
        <w:rPr>
          <w:rFonts w:ascii="Times New Roman" w:hAnsi="Times New Roman" w:cs="Times New Roman"/>
          <w:sz w:val="28"/>
          <w:szCs w:val="28"/>
        </w:rPr>
        <w:t>4</w:t>
      </w:r>
      <w:r w:rsidR="00C65CA9" w:rsidRPr="00A025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A3C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отклонение от предельных параметров;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приаэродромной</w:t>
      </w:r>
      <w:proofErr w:type="spellEnd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территории (при наличии </w:t>
      </w:r>
      <w:proofErr w:type="spellStart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приаэродромные</w:t>
      </w:r>
      <w:proofErr w:type="spellEnd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территории);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75CB9" w:rsidRPr="00375CB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архитектурным решениям</w:t>
      </w:r>
      <w:proofErr w:type="gramEnd"/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E3519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2.1</w:t>
      </w:r>
      <w:r w:rsidR="00BB2F4C" w:rsidRPr="00A0259F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A0259F">
        <w:rPr>
          <w:rFonts w:ascii="Times New Roman" w:hAnsi="Times New Roman" w:cs="Times New Roman"/>
          <w:sz w:val="28"/>
          <w:szCs w:val="28"/>
        </w:rPr>
        <w:t>пункте</w:t>
      </w:r>
      <w:r w:rsidRPr="00A0259F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A0259F">
        <w:rPr>
          <w:rFonts w:ascii="Times New Roman" w:hAnsi="Times New Roman" w:cs="Times New Roman"/>
          <w:sz w:val="28"/>
          <w:szCs w:val="28"/>
        </w:rPr>
        <w:t>10</w:t>
      </w:r>
      <w:r w:rsidRPr="00A025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13250" w:rsidRPr="00154567" w:rsidRDefault="008E3D2D" w:rsidP="0015456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B8212E" w:rsidRDefault="00B8212E" w:rsidP="00DF469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передвигающихся на инвалидных колясках, вход в здание и помещения, </w:t>
      </w:r>
      <w:r w:rsidRPr="00A0259F">
        <w:rPr>
          <w:sz w:val="28"/>
          <w:lang w:val="ru-RU"/>
        </w:rPr>
        <w:lastRenderedPageBreak/>
        <w:t>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 обеспечения беспрепятственного доступа инвалидов 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F74565">
      <w:pPr>
        <w:pStyle w:val="ae"/>
        <w:spacing w:before="0"/>
        <w:ind w:left="38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государственных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A0259F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</w:p>
    <w:p w:rsidR="00A0259F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Приложении № </w:t>
      </w:r>
      <w:r w:rsidR="00A0259F" w:rsidRPr="00A0259F">
        <w:rPr>
          <w:b w:val="0"/>
        </w:rPr>
        <w:t>6</w:t>
      </w:r>
      <w:r w:rsidRPr="00A0259F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 w:rsidRPr="00C2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DF43E1" w:rsidRPr="00585C6E">
        <w:rPr>
          <w:rFonts w:ascii="Times New Roman" w:hAnsi="Times New Roman" w:cs="Times New Roman"/>
          <w:sz w:val="28"/>
          <w:szCs w:val="28"/>
        </w:rPr>
        <w:t>4</w:t>
      </w:r>
      <w:r w:rsidRPr="00585C6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Приложении № </w:t>
      </w:r>
      <w:r w:rsidR="00154EED" w:rsidRPr="00DF43E1">
        <w:rPr>
          <w:rFonts w:ascii="Times New Roman" w:hAnsi="Times New Roman" w:cs="Times New Roman"/>
          <w:sz w:val="28"/>
          <w:szCs w:val="28"/>
        </w:rPr>
        <w:t>5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5E">
        <w:rPr>
          <w:rFonts w:ascii="Times New Roman" w:hAnsi="Times New Roman" w:cs="Times New Roman"/>
          <w:sz w:val="28"/>
          <w:szCs w:val="28"/>
        </w:rPr>
        <w:t>а)</w:t>
      </w:r>
      <w:r w:rsidRPr="00037E5E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037E5E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037E5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37E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37E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3.6.2. Уполномоченный орган обеспечивает в сроки, указанные в пунктах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F43E1" w:rsidRPr="0057755B">
        <w:rPr>
          <w:rFonts w:ascii="Times New Roman" w:hAnsi="Times New Roman" w:cs="Times New Roman"/>
          <w:sz w:val="28"/>
          <w:szCs w:val="28"/>
        </w:rPr>
        <w:t>8</w:t>
      </w:r>
      <w:r w:rsidRPr="0057755B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57755B">
        <w:rPr>
          <w:rFonts w:ascii="Times New Roman" w:hAnsi="Times New Roman" w:cs="Times New Roman"/>
          <w:sz w:val="28"/>
          <w:szCs w:val="28"/>
        </w:rPr>
        <w:t>19</w:t>
      </w:r>
      <w:r w:rsidRPr="005775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пункте 2.7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lastRenderedPageBreak/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 Борискино-</w:t>
      </w:r>
      <w:proofErr w:type="spellStart"/>
      <w:r w:rsidR="003F270B"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3ADA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должностных лиц, государственных или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D1AC5" w:rsidRPr="00B277F5" w:rsidRDefault="001D1AC5" w:rsidP="001D1AC5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proofErr w:type="gramStart"/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сельского поселения станция Клявлино муниципального района Клявлинский Самарской области от 18.05.2018 г.  № 41 «О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области, утвержденные постановлением Администрации сельского поселения станция Клявлино муниципального района Клявлинский Самарской области от 14.07.2016 г. № 50</w:t>
      </w:r>
      <w:proofErr w:type="gramEnd"/>
    </w:p>
    <w:p w:rsidR="001D1AC5" w:rsidRPr="00B277F5" w:rsidRDefault="001D1AC5" w:rsidP="001D1AC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F62D6" w:rsidRPr="007F62D6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7F62D6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F62D6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BC2C6D">
      <w:pPr>
        <w:pStyle w:val="ae"/>
        <w:rPr>
          <w:lang w:val="ru-RU"/>
        </w:rPr>
      </w:pPr>
    </w:p>
    <w:p w:rsidR="00820602" w:rsidRDefault="00820602" w:rsidP="00A25E19">
      <w:pPr>
        <w:pStyle w:val="ae"/>
        <w:ind w:left="0"/>
        <w:jc w:val="left"/>
        <w:rPr>
          <w:lang w:val="ru-RU"/>
        </w:rPr>
      </w:pPr>
    </w:p>
    <w:p w:rsidR="004C33FB" w:rsidRDefault="004C33FB" w:rsidP="00A25E19">
      <w:pPr>
        <w:pStyle w:val="ae"/>
        <w:ind w:left="0"/>
        <w:jc w:val="left"/>
        <w:rPr>
          <w:lang w:val="ru-RU"/>
        </w:rPr>
      </w:pPr>
    </w:p>
    <w:p w:rsidR="004C33FB" w:rsidRDefault="004C33FB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1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«Предоставлени</w:t>
      </w:r>
      <w:r w:rsidR="002C0235">
        <w:rPr>
          <w:lang w:val="ru-RU"/>
        </w:rPr>
        <w:t>е</w:t>
      </w:r>
      <w:r w:rsidR="005A375A" w:rsidRPr="00750878">
        <w:rPr>
          <w:lang w:val="ru-RU"/>
        </w:rPr>
        <w:t xml:space="preserve"> разрешения  на отклонение от предельных параметров разрешенного строительства</w:t>
      </w:r>
      <w:r w:rsidR="00C70D46" w:rsidRPr="00750878">
        <w:rPr>
          <w:lang w:val="ru-RU"/>
        </w:rPr>
        <w:t>, реконстру</w:t>
      </w:r>
      <w:r w:rsidR="0081677E">
        <w:rPr>
          <w:lang w:val="ru-RU"/>
        </w:rPr>
        <w:t>к</w:t>
      </w:r>
      <w:r w:rsidR="00C70D46" w:rsidRPr="00750878">
        <w:rPr>
          <w:lang w:val="ru-RU"/>
        </w:rPr>
        <w:t>ции объектов капитального строительства»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r w:rsidR="00D30A33">
        <w:rPr>
          <w:lang w:val="ru-RU"/>
        </w:rPr>
        <w:t>станция Клявлино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  <w:szCs w:val="24"/>
        </w:rPr>
        <w:t>ов</w:t>
      </w:r>
      <w:r w:rsidRPr="00B13567">
        <w:rPr>
          <w:sz w:val="24"/>
          <w:szCs w:val="24"/>
        </w:rPr>
        <w:t xml:space="preserve"> капитального</w:t>
      </w:r>
    </w:p>
    <w:p w:rsidR="00C20ADF" w:rsidRPr="00C70D46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строительства</w:t>
      </w:r>
    </w:p>
    <w:p w:rsidR="00176AB9" w:rsidRDefault="00176AB9" w:rsidP="00176AB9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176AB9" w:rsidRPr="00176AB9" w:rsidRDefault="00E90138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18"/>
          <w:szCs w:val="18"/>
        </w:rPr>
      </w:pPr>
      <w:r w:rsidRPr="000C6FF7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176AB9" w:rsidRDefault="00176AB9" w:rsidP="00176AB9">
      <w:pPr>
        <w:pStyle w:val="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Параметры планируемых к размещению объектов капитального строительства</w:t>
      </w:r>
    </w:p>
    <w:p w:rsidR="000C6FF7" w:rsidRDefault="000C6FF7" w:rsidP="00176AB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0C6FF7" w:rsidRDefault="000C6FF7" w:rsidP="00E47BC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</w:t>
      </w:r>
      <w:r w:rsidR="00E47BCD">
        <w:rPr>
          <w:b w:val="0"/>
          <w:sz w:val="24"/>
          <w:szCs w:val="24"/>
        </w:rPr>
        <w:t>екта капитального строительства_____________________</w:t>
      </w:r>
    </w:p>
    <w:p w:rsidR="00E47BCD" w:rsidRPr="00176AB9" w:rsidRDefault="00E47BCD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122F7D" w:rsidRPr="00B13567" w:rsidRDefault="00B13567" w:rsidP="00176AB9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2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13567">
        <w:rPr>
          <w:b w:val="0"/>
          <w:sz w:val="24"/>
        </w:rPr>
        <w:t xml:space="preserve">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D30A33">
        <w:rPr>
          <w:b w:val="0"/>
          <w:sz w:val="24"/>
        </w:rPr>
        <w:t>станция Клявлино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Pr="00B13567" w:rsidRDefault="00B13567" w:rsidP="00B13567">
      <w:pPr>
        <w:pStyle w:val="1"/>
        <w:ind w:right="-8"/>
        <w:rPr>
          <w:sz w:val="24"/>
        </w:rPr>
      </w:pPr>
      <w:r w:rsidRPr="00B13567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</w:rPr>
        <w:t>ов</w:t>
      </w:r>
      <w:r w:rsidRPr="00B13567">
        <w:rPr>
          <w:sz w:val="24"/>
        </w:rPr>
        <w:t xml:space="preserve"> капитального</w:t>
      </w:r>
    </w:p>
    <w:p w:rsidR="00B13567" w:rsidRPr="00B13567" w:rsidRDefault="00B13567" w:rsidP="00B13567">
      <w:pPr>
        <w:pStyle w:val="1"/>
        <w:ind w:left="0" w:right="-8"/>
        <w:rPr>
          <w:sz w:val="24"/>
        </w:rPr>
      </w:pPr>
      <w:r w:rsidRPr="00B13567">
        <w:rPr>
          <w:sz w:val="24"/>
        </w:rPr>
        <w:t>строительства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от</w:t>
      </w:r>
      <w:r>
        <w:rPr>
          <w:b w:val="0"/>
          <w:sz w:val="24"/>
        </w:rPr>
        <w:t>_____________________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</w:t>
      </w:r>
      <w:r w:rsidRPr="00B13567">
        <w:rPr>
          <w:b w:val="0"/>
          <w:sz w:val="24"/>
        </w:rPr>
        <w:t>№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землепользования и застройки муниципального образо</w:t>
      </w:r>
      <w:r>
        <w:rPr>
          <w:b w:val="0"/>
          <w:sz w:val="24"/>
        </w:rPr>
        <w:t>вания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утвержденными</w:t>
      </w:r>
      <w:r w:rsidRPr="00B13567">
        <w:rPr>
          <w:b w:val="0"/>
          <w:sz w:val="24"/>
        </w:rPr>
        <w:tab/>
        <w:t>, на основании заключения по результатам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публичных слушаний/общественных обсуждений от</w:t>
      </w:r>
      <w:r w:rsidR="00A1550A">
        <w:rPr>
          <w:b w:val="0"/>
          <w:sz w:val="24"/>
        </w:rPr>
        <w:t>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        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 w:rsidRPr="00B13567">
        <w:rPr>
          <w:b w:val="0"/>
          <w:sz w:val="24"/>
        </w:rPr>
        <w:tab/>
        <w:t>___</w:t>
      </w:r>
      <w:r>
        <w:rPr>
          <w:b w:val="0"/>
          <w:sz w:val="24"/>
        </w:rPr>
        <w:t>_______</w:t>
      </w:r>
      <w:r w:rsidRPr="00B13567">
        <w:rPr>
          <w:b w:val="0"/>
          <w:sz w:val="24"/>
        </w:rPr>
        <w:t>,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4. Настоящее решение (постановление/распоряжение)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1677E" w:rsidRDefault="0081677E" w:rsidP="00B01B9D">
      <w:pPr>
        <w:pStyle w:val="1"/>
        <w:ind w:left="5670" w:right="-8"/>
        <w:jc w:val="right"/>
        <w:rPr>
          <w:b w:val="0"/>
          <w:sz w:val="24"/>
        </w:rPr>
      </w:pPr>
    </w:p>
    <w:p w:rsidR="0081677E" w:rsidRDefault="0081677E" w:rsidP="00B01B9D">
      <w:pPr>
        <w:pStyle w:val="1"/>
        <w:ind w:left="5670" w:right="-8"/>
        <w:jc w:val="right"/>
        <w:rPr>
          <w:b w:val="0"/>
          <w:sz w:val="24"/>
        </w:rPr>
      </w:pPr>
    </w:p>
    <w:p w:rsidR="0081677E" w:rsidRDefault="0081677E" w:rsidP="00B01B9D">
      <w:pPr>
        <w:pStyle w:val="1"/>
        <w:ind w:left="5670" w:right="-8"/>
        <w:jc w:val="right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3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</w:t>
      </w:r>
      <w:r w:rsidR="00D30A33">
        <w:rPr>
          <w:b w:val="0"/>
          <w:sz w:val="24"/>
        </w:rPr>
        <w:t>станция Клявлино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P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капитального строительства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2A0EF4" w:rsidRDefault="002A0EF4" w:rsidP="00B13567">
      <w:pPr>
        <w:pStyle w:val="1"/>
        <w:ind w:left="0" w:right="-8"/>
        <w:jc w:val="both"/>
        <w:rPr>
          <w:b w:val="0"/>
          <w:sz w:val="24"/>
        </w:rPr>
      </w:pPr>
    </w:p>
    <w:p w:rsidR="002A0EF4" w:rsidRDefault="002A0EF4" w:rsidP="00B13567">
      <w:pPr>
        <w:pStyle w:val="1"/>
        <w:ind w:left="0" w:right="-8"/>
        <w:jc w:val="both"/>
        <w:rPr>
          <w:b w:val="0"/>
          <w:sz w:val="24"/>
        </w:rPr>
      </w:pPr>
    </w:p>
    <w:p w:rsidR="002A0EF4" w:rsidRDefault="002A0EF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D30A33">
        <w:rPr>
          <w:b w:val="0"/>
          <w:sz w:val="24"/>
        </w:rPr>
        <w:t xml:space="preserve">станция </w:t>
      </w:r>
      <w:proofErr w:type="spellStart"/>
      <w:r w:rsidR="00D30A33">
        <w:rPr>
          <w:b w:val="0"/>
          <w:sz w:val="24"/>
        </w:rPr>
        <w:t>Клвлино</w:t>
      </w:r>
      <w:proofErr w:type="spellEnd"/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на отклонение  от предельных параметров разрешенного строительства, реконструкции объектов капитального строительства»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750878">
        <w:rPr>
          <w:b w:val="0"/>
          <w:sz w:val="24"/>
        </w:rPr>
        <w:t>_____________________________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E752B4">
        <w:rPr>
          <w:b w:val="0"/>
          <w:sz w:val="24"/>
        </w:rPr>
        <w:t>ов</w:t>
      </w:r>
      <w:r w:rsidRPr="005F44CF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D30A33">
        <w:rPr>
          <w:b w:val="0"/>
          <w:sz w:val="24"/>
        </w:rPr>
        <w:t>станция Клявлино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7"/>
        <w:gridCol w:w="2966"/>
        <w:gridCol w:w="296"/>
        <w:gridCol w:w="1693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7E2A85">
        <w:trPr>
          <w:gridAfter w:val="1"/>
          <w:wAfter w:w="285" w:type="dxa"/>
          <w:trHeight w:hRule="exact" w:val="321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D53F4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F06F6B"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наличие/отсутствие оснований для отказа в приеме документов, предусмотренных пунктом 2.</w:t>
            </w:r>
            <w:r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7E2A85">
        <w:trPr>
          <w:trHeight w:hRule="exact" w:val="16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Принятие решения </w:t>
            </w:r>
            <w:proofErr w:type="gramStart"/>
            <w:r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в пункте </w:t>
            </w:r>
            <w:r w:rsidR="00040197" w:rsidRPr="00E752B4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Отсутствие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2.12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E752B4">
        <w:trPr>
          <w:trHeight w:hRule="exact" w:val="36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получения межведомственных запросов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E83F5A" w:rsidP="00E83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 xml:space="preserve">Наличие/отсутствие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F53FC0" w:rsidRPr="00E752B4">
              <w:rPr>
                <w:rStyle w:val="211pt"/>
                <w:rFonts w:eastAsia="Arial Unicode MS"/>
              </w:rPr>
              <w:t>2.</w:t>
            </w:r>
            <w:r w:rsidR="00051180" w:rsidRPr="00E752B4">
              <w:rPr>
                <w:rStyle w:val="211pt"/>
                <w:rFonts w:eastAsia="Arial Unicode MS"/>
              </w:rPr>
              <w:t>9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 или торгов</w:t>
            </w:r>
          </w:p>
        </w:tc>
      </w:tr>
      <w:tr w:rsidR="00283AAA" w:rsidRPr="00166A65" w:rsidTr="007E2A85">
        <w:trPr>
          <w:trHeight w:hRule="exact" w:val="31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gramStart"/>
            <w:r w:rsidRPr="00166A65">
              <w:rPr>
                <w:rStyle w:val="211pt"/>
                <w:rFonts w:eastAsia="Arial Unicode MS"/>
              </w:rPr>
              <w:t>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proofErr w:type="gramEnd"/>
            <w:r w:rsidRPr="00166A65">
              <w:rPr>
                <w:rStyle w:val="211pt"/>
                <w:rFonts w:eastAsia="Arial Unicode MS"/>
              </w:rPr>
              <w:t xml:space="preserve">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7E2A85">
        <w:trPr>
          <w:trHeight w:hRule="exact" w:val="22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7 дней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F53FC0" w:rsidRPr="00166A65" w:rsidRDefault="00AD6D7A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F53FC0" w:rsidP="00337E64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2</w:t>
            </w:r>
            <w:r w:rsidRPr="00337E64">
              <w:rPr>
                <w:rStyle w:val="211pt"/>
                <w:rFonts w:eastAsia="Arial Unicode MS"/>
              </w:rPr>
              <w:t>,</w:t>
            </w:r>
          </w:p>
          <w:p w:rsidR="00F53FC0" w:rsidRPr="00166A65" w:rsidRDefault="00337E64" w:rsidP="00BC5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 xml:space="preserve"> к </w:t>
            </w:r>
            <w:proofErr w:type="spellStart"/>
            <w:proofErr w:type="gramStart"/>
            <w:r w:rsidRPr="00337E64">
              <w:rPr>
                <w:rStyle w:val="211pt"/>
                <w:rFonts w:eastAsia="Arial Unicode MS"/>
              </w:rPr>
              <w:t>Административн</w:t>
            </w:r>
            <w:proofErr w:type="spellEnd"/>
            <w:r w:rsidRPr="00337E64">
              <w:rPr>
                <w:rStyle w:val="211pt"/>
                <w:rFonts w:eastAsia="Arial Unicode MS"/>
              </w:rPr>
              <w:t xml:space="preserve"> ому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регламенту, подписанный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F53FC0" w:rsidRPr="00166A65" w:rsidTr="00D251E4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251E4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5A09D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 2.5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62D1" w:rsidRPr="00166A65" w:rsidTr="009109C1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Направление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Указание заявителем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>Приложение № 6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отклонение от предельных параметров </w:t>
      </w:r>
      <w:proofErr w:type="gramStart"/>
      <w:r w:rsidRPr="009109C1">
        <w:rPr>
          <w:b w:val="0"/>
          <w:sz w:val="24"/>
          <w:szCs w:val="24"/>
        </w:rPr>
        <w:t>разрешенного</w:t>
      </w:r>
      <w:proofErr w:type="gramEnd"/>
      <w:r w:rsidRPr="009109C1">
        <w:rPr>
          <w:b w:val="0"/>
          <w:sz w:val="24"/>
          <w:szCs w:val="24"/>
        </w:rPr>
        <w:t xml:space="preserve">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>строительства, реконструкции объектов капитального</w:t>
      </w:r>
    </w:p>
    <w:p w:rsidR="00135BB4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строительства</w:t>
      </w:r>
      <w:r w:rsidR="00135BB4">
        <w:rPr>
          <w:b w:val="0"/>
          <w:sz w:val="24"/>
          <w:szCs w:val="24"/>
        </w:rPr>
        <w:t xml:space="preserve">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135BB4" w:rsidRDefault="00135BB4" w:rsidP="00135BB4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="00D30A33">
        <w:rPr>
          <w:b w:val="0"/>
          <w:sz w:val="24"/>
          <w:szCs w:val="24"/>
        </w:rPr>
        <w:t xml:space="preserve">                            станция Клявлино</w:t>
      </w:r>
      <w:r>
        <w:rPr>
          <w:b w:val="0"/>
          <w:sz w:val="24"/>
          <w:szCs w:val="24"/>
        </w:rPr>
        <w:t xml:space="preserve"> </w:t>
      </w:r>
      <w:r w:rsidR="009109C1" w:rsidRPr="009109C1">
        <w:rPr>
          <w:b w:val="0"/>
          <w:sz w:val="24"/>
          <w:szCs w:val="24"/>
        </w:rPr>
        <w:t>муниципального района  Клявлинский</w:t>
      </w:r>
    </w:p>
    <w:p w:rsidR="0057755B" w:rsidRPr="009109C1" w:rsidRDefault="009109C1" w:rsidP="00135BB4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 w:rsidR="00135BB4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109C1">
        <w:rPr>
          <w:b w:val="0"/>
          <w:sz w:val="24"/>
          <w:szCs w:val="24"/>
        </w:rPr>
        <w:t>Самарской области</w:t>
      </w: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12168D" w:rsidRPr="009109C1" w:rsidRDefault="00BB3DAD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7755B" w:rsidRPr="0057755B" w:rsidRDefault="0057755B" w:rsidP="00D155E1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57755B" w:rsidRPr="0057755B" w:rsidTr="00D155E1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57755B" w:rsidRPr="0057755B" w:rsidTr="00D155E1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161269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161269" w:rsidRDefault="00161269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7C2080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57755B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161269" w:rsidRDefault="006037EF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6037EF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 какой категории относится заявитель?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57755B" w:rsidP="00C5424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Физическое лицо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                                                                         2. 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Индивидуальный предприниматель 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Юридическое лицо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037EF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  <w:p w:rsidR="002249F6" w:rsidRPr="00417B96" w:rsidRDefault="002249F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Право не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</w:tc>
      </w:tr>
      <w:tr w:rsidR="00FF291B" w:rsidRPr="0057755B" w:rsidTr="00D155E1">
        <w:trPr>
          <w:trHeight w:hRule="exact" w:val="186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характеристики земельного участка неблагоприятны для застройки?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Инженерно-геологические характеристики земельного участка</w:t>
            </w:r>
          </w:p>
          <w:p w:rsidR="00FF291B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Размер земельного участка меньше установленных Градостроительным регламентом размеров земельного участка</w:t>
            </w:r>
          </w:p>
          <w:p w:rsidR="00043221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Иные характеристики</w:t>
            </w:r>
          </w:p>
        </w:tc>
      </w:tr>
      <w:tr w:rsidR="00043221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Один</w:t>
            </w:r>
          </w:p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Более одного </w:t>
            </w:r>
          </w:p>
        </w:tc>
      </w:tr>
      <w:tr w:rsidR="003B41F0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6.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Вид строительных работ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FA153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Строительство</w:t>
            </w:r>
          </w:p>
          <w:p w:rsidR="00FA1536" w:rsidRPr="00417B96" w:rsidRDefault="00FA1536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Реконструкция</w:t>
            </w:r>
          </w:p>
        </w:tc>
      </w:tr>
    </w:tbl>
    <w:p w:rsidR="009478D6" w:rsidRDefault="009478D6" w:rsidP="0057755B">
      <w:pPr>
        <w:widowControl/>
        <w:spacing w:line="259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9478D6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="00D30A33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станция Клявлино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на отклонение от предельных параметров разрешенного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строительства, реконструкции объектов капитального строительства»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  <w:proofErr w:type="gramEnd"/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на отклонение </w:t>
      </w:r>
    </w:p>
    <w:p w:rsidR="00037E5E" w:rsidRDefault="00BC62D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6E5DA4">
        <w:rPr>
          <w:rFonts w:ascii="Times New Roman" w:eastAsia="Calibri" w:hAnsi="Times New Roman" w:cs="Times New Roman"/>
          <w:lang w:eastAsia="en-US" w:bidi="ar-SA"/>
        </w:rPr>
        <w:t xml:space="preserve"> от предельных параметров </w:t>
      </w:r>
      <w:proofErr w:type="gramStart"/>
      <w:r w:rsidRPr="006E5DA4">
        <w:rPr>
          <w:rFonts w:ascii="Times New Roman" w:eastAsia="Calibri" w:hAnsi="Times New Roman" w:cs="Times New Roman"/>
          <w:lang w:eastAsia="en-US" w:bidi="ar-SA"/>
        </w:rPr>
        <w:t>разрешенного</w:t>
      </w:r>
      <w:proofErr w:type="gramEnd"/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 строительства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,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реконстр</w:t>
      </w:r>
      <w:r>
        <w:rPr>
          <w:rFonts w:ascii="Times New Roman" w:eastAsia="Calibri" w:hAnsi="Times New Roman" w:cs="Times New Roman"/>
          <w:lang w:eastAsia="en-US" w:bidi="ar-SA"/>
        </w:rPr>
        <w:t>укции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объектов </w:t>
      </w:r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на территории  сельского  поселения  </w:t>
      </w:r>
      <w:r w:rsidR="00D30A33">
        <w:rPr>
          <w:rFonts w:ascii="Times New Roman" w:eastAsia="Calibri" w:hAnsi="Times New Roman" w:cs="Times New Roman"/>
          <w:lang w:eastAsia="en-US" w:bidi="ar-SA"/>
        </w:rPr>
        <w:t>станция Клявлино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4F68E1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1B" w:rsidRDefault="003A621B" w:rsidP="00956A29">
      <w:r>
        <w:separator/>
      </w:r>
    </w:p>
  </w:endnote>
  <w:endnote w:type="continuationSeparator" w:id="0">
    <w:p w:rsidR="003A621B" w:rsidRDefault="003A621B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1B" w:rsidRDefault="003A621B" w:rsidP="00956A29">
      <w:r>
        <w:separator/>
      </w:r>
    </w:p>
  </w:footnote>
  <w:footnote w:type="continuationSeparator" w:id="0">
    <w:p w:rsidR="003A621B" w:rsidRDefault="003A621B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0EF4" w:rsidRPr="00633098" w:rsidRDefault="002A0EF4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E526AE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2A0EF4" w:rsidRDefault="002A0E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7729"/>
    <w:rsid w:val="000C30D0"/>
    <w:rsid w:val="000C6BD8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33C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D1AC5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5912"/>
    <w:rsid w:val="00286615"/>
    <w:rsid w:val="00287995"/>
    <w:rsid w:val="002938BA"/>
    <w:rsid w:val="0029453C"/>
    <w:rsid w:val="00295D30"/>
    <w:rsid w:val="002A0EF4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521"/>
    <w:rsid w:val="00392C7C"/>
    <w:rsid w:val="0039787C"/>
    <w:rsid w:val="003A01F8"/>
    <w:rsid w:val="003A064C"/>
    <w:rsid w:val="003A621B"/>
    <w:rsid w:val="003A6A62"/>
    <w:rsid w:val="003A6BB4"/>
    <w:rsid w:val="003A77FE"/>
    <w:rsid w:val="003B0C68"/>
    <w:rsid w:val="003B2CD3"/>
    <w:rsid w:val="003B4038"/>
    <w:rsid w:val="003B41F0"/>
    <w:rsid w:val="003B540B"/>
    <w:rsid w:val="003C0B74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E3ADA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677E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18E2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7A16"/>
    <w:rsid w:val="00983A0D"/>
    <w:rsid w:val="00984BC5"/>
    <w:rsid w:val="00984D6E"/>
    <w:rsid w:val="00984F50"/>
    <w:rsid w:val="00986047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B7B4C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0A33"/>
    <w:rsid w:val="00D3740F"/>
    <w:rsid w:val="00D37C59"/>
    <w:rsid w:val="00D4137B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21E4F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26AE"/>
    <w:rsid w:val="00E54E3D"/>
    <w:rsid w:val="00E57FE1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5CE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B852-0505-46BD-BC52-CE5FAFE1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11772</Words>
  <Characters>67106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10</cp:revision>
  <cp:lastPrinted>2023-09-07T13:06:00Z</cp:lastPrinted>
  <dcterms:created xsi:type="dcterms:W3CDTF">2023-08-08T07:45:00Z</dcterms:created>
  <dcterms:modified xsi:type="dcterms:W3CDTF">2023-09-07T13:06:00Z</dcterms:modified>
</cp:coreProperties>
</file>