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70B0">
        <w:trPr>
          <w:trHeight w:val="2129"/>
        </w:trPr>
        <w:tc>
          <w:tcPr>
            <w:tcW w:w="10201" w:type="dxa"/>
            <w:hideMark/>
          </w:tcPr>
          <w:p w:rsidR="00F60A59" w:rsidRDefault="00F60A59" w:rsidP="00F670B0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0D26B7">
        <w:rPr>
          <w:b/>
          <w:sz w:val="44"/>
          <w:szCs w:val="44"/>
        </w:rPr>
        <w:t>03 июня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0D26B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0D26B7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B69AD" w:rsidRPr="00E83FA2" w:rsidRDefault="00FB69AD" w:rsidP="00FB69AD">
      <w:pPr>
        <w:jc w:val="both"/>
        <w:rPr>
          <w:b/>
          <w:szCs w:val="28"/>
        </w:rPr>
      </w:pPr>
      <w:r w:rsidRPr="00E83FA2">
        <w:rPr>
          <w:b/>
          <w:szCs w:val="28"/>
        </w:rPr>
        <w:t xml:space="preserve">Прокуратурой </w:t>
      </w:r>
      <w:r>
        <w:rPr>
          <w:b/>
          <w:szCs w:val="28"/>
        </w:rPr>
        <w:t xml:space="preserve">Клявлинского </w:t>
      </w:r>
      <w:r w:rsidRPr="00E83FA2">
        <w:rPr>
          <w:b/>
          <w:szCs w:val="28"/>
        </w:rPr>
        <w:t xml:space="preserve">района проведена проверка исполнения сельскими поселениями муниципального района Клявлинский законодательства в сфере безопасности дорожного движения. </w:t>
      </w:r>
    </w:p>
    <w:p w:rsidR="00FB69AD" w:rsidRDefault="00FB69AD" w:rsidP="00FB69AD">
      <w:pPr>
        <w:jc w:val="both"/>
        <w:rPr>
          <w:szCs w:val="28"/>
        </w:rPr>
      </w:pP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В ходе проверки исполнения администрациями сельских поселений положений Федерального закона РФ от 10.12.1995 № 196-ФЗ «О безопасности дорожного движения», государственного стандарта ГОСТ </w:t>
      </w:r>
      <w:proofErr w:type="gramStart"/>
      <w:r w:rsidRPr="00E83FA2">
        <w:rPr>
          <w:szCs w:val="28"/>
        </w:rPr>
        <w:t>Р</w:t>
      </w:r>
      <w:proofErr w:type="gramEnd"/>
      <w:r w:rsidRPr="00E83FA2">
        <w:rPr>
          <w:szCs w:val="28"/>
        </w:rPr>
        <w:t xml:space="preserve">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Приказом </w:t>
      </w:r>
      <w:proofErr w:type="spellStart"/>
      <w:r w:rsidRPr="00E83FA2">
        <w:rPr>
          <w:szCs w:val="28"/>
        </w:rPr>
        <w:t>Росстандарта</w:t>
      </w:r>
      <w:proofErr w:type="spellEnd"/>
      <w:r w:rsidRPr="00E83FA2">
        <w:rPr>
          <w:szCs w:val="28"/>
        </w:rPr>
        <w:t xml:space="preserve"> от 20.12.2019 №1425-ст) (далее - ГОСТ </w:t>
      </w:r>
      <w:proofErr w:type="gramStart"/>
      <w:r w:rsidRPr="00E83FA2">
        <w:rPr>
          <w:szCs w:val="28"/>
        </w:rPr>
        <w:t>Р</w:t>
      </w:r>
      <w:proofErr w:type="gramEnd"/>
      <w:r w:rsidRPr="00E83FA2">
        <w:rPr>
          <w:szCs w:val="28"/>
        </w:rPr>
        <w:t xml:space="preserve"> 52289-2019). были выявлены нарушения указанного законодательства.</w:t>
      </w: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Так, прокуратурой установлено, что на автомобильных дорогах в границах сельских поселений отсутствуют горизонтальные линии разметки. </w:t>
      </w: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В сложившихся обстоятельствах отсутствие горизонтальной линии разметки на улично-дорожной сети не может в полном объеме обеспечить безопасность дорожного движения.  </w:t>
      </w: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>В соответствии с действующим законодательством, обязанность по обеспечению соответствия дорог при их содержании установленным правилам, стандартам, техническим нормам и другим нормативным документам возлагается на владельцев автомобильных дорог и улиц, а также на лиц, осуществляющих их содержание.</w:t>
      </w: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>Ненадлежащее исполнение сельскими поселениями требований законодательства в сфере безопасности дорожного движения при содержании эксплуатационного состояния дорог влечет за собой нарушение прав неопределенного круга лиц.</w:t>
      </w:r>
    </w:p>
    <w:p w:rsidR="00FB69AD" w:rsidRPr="00E83FA2" w:rsidRDefault="00FB69AD" w:rsidP="00FB69AD">
      <w:pPr>
        <w:ind w:firstLine="709"/>
        <w:jc w:val="both"/>
        <w:rPr>
          <w:szCs w:val="28"/>
        </w:rPr>
      </w:pPr>
      <w:r w:rsidRPr="00E83FA2">
        <w:rPr>
          <w:szCs w:val="28"/>
        </w:rPr>
        <w:t xml:space="preserve">В связи с выявленными нарушениями закона в адрес глав сельских поселений были внесены представления. Акты прокурорского реагирования рассмотрены и удовлетворены, органы преступили к устранению выявленных нарушений. </w:t>
      </w:r>
    </w:p>
    <w:p w:rsidR="00FB69AD" w:rsidRDefault="00FB69AD" w:rsidP="00FB69A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b/>
          <w:szCs w:val="28"/>
        </w:rPr>
      </w:pPr>
    </w:p>
    <w:p w:rsidR="00FB69AD" w:rsidRPr="005D20E9" w:rsidRDefault="00FB69AD" w:rsidP="00FB69AD">
      <w:pPr>
        <w:jc w:val="both"/>
        <w:rPr>
          <w:b/>
          <w:szCs w:val="28"/>
        </w:rPr>
      </w:pPr>
      <w:r w:rsidRPr="005D20E9">
        <w:rPr>
          <w:b/>
          <w:szCs w:val="28"/>
        </w:rPr>
        <w:t xml:space="preserve">Помощник прокурора Клявлинского района </w:t>
      </w:r>
    </w:p>
    <w:p w:rsidR="00FB69AD" w:rsidRPr="005D20E9" w:rsidRDefault="00FB69AD" w:rsidP="00FB69AD">
      <w:pPr>
        <w:jc w:val="both"/>
        <w:rPr>
          <w:b/>
          <w:szCs w:val="28"/>
        </w:rPr>
      </w:pPr>
      <w:r w:rsidRPr="005D20E9">
        <w:rPr>
          <w:b/>
          <w:szCs w:val="28"/>
        </w:rPr>
        <w:t>Коваленко К.И.</w:t>
      </w:r>
    </w:p>
    <w:p w:rsidR="00FB69AD" w:rsidRPr="00E83FA2" w:rsidRDefault="00FB69AD" w:rsidP="00FB69AD">
      <w:pPr>
        <w:autoSpaceDE w:val="0"/>
        <w:autoSpaceDN w:val="0"/>
        <w:adjustRightInd w:val="0"/>
        <w:spacing w:before="280"/>
        <w:ind w:right="-1"/>
        <w:contextualSpacing/>
        <w:jc w:val="both"/>
        <w:rPr>
          <w:b/>
          <w:szCs w:val="28"/>
        </w:rPr>
      </w:pPr>
      <w:r>
        <w:rPr>
          <w:b/>
          <w:szCs w:val="28"/>
        </w:rPr>
        <w:t>20.05.2022</w:t>
      </w:r>
    </w:p>
    <w:p w:rsidR="0077251E" w:rsidRPr="000C2C16" w:rsidRDefault="0077251E" w:rsidP="000C2C1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B69AD" w:rsidRDefault="00FB69AD" w:rsidP="000D26B7">
      <w:pPr>
        <w:jc w:val="center"/>
        <w:rPr>
          <w:b/>
          <w:sz w:val="20"/>
          <w:szCs w:val="20"/>
        </w:rPr>
      </w:pPr>
    </w:p>
    <w:p w:rsidR="000D26B7" w:rsidRPr="000D26B7" w:rsidRDefault="000C2C16" w:rsidP="000D26B7">
      <w:pPr>
        <w:jc w:val="center"/>
        <w:rPr>
          <w:b/>
          <w:sz w:val="20"/>
          <w:szCs w:val="20"/>
        </w:rPr>
      </w:pPr>
      <w:r w:rsidRPr="000C2C16">
        <w:rPr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</w:t>
      </w:r>
      <w:r w:rsidR="000D26B7">
        <w:rPr>
          <w:b/>
          <w:sz w:val="20"/>
          <w:szCs w:val="20"/>
        </w:rPr>
        <w:t>31.05</w:t>
      </w:r>
      <w:r w:rsidRPr="000C2C16">
        <w:rPr>
          <w:b/>
          <w:sz w:val="20"/>
          <w:szCs w:val="20"/>
        </w:rPr>
        <w:t>.2022г. №</w:t>
      </w:r>
      <w:r w:rsidR="000D26B7">
        <w:rPr>
          <w:b/>
          <w:sz w:val="20"/>
          <w:szCs w:val="20"/>
        </w:rPr>
        <w:t xml:space="preserve">10 </w:t>
      </w:r>
      <w:r w:rsidRPr="000C2C16">
        <w:rPr>
          <w:b/>
          <w:sz w:val="20"/>
          <w:szCs w:val="20"/>
        </w:rPr>
        <w:t xml:space="preserve"> «</w:t>
      </w:r>
      <w:r w:rsidR="000D26B7" w:rsidRPr="000D26B7">
        <w:rPr>
          <w:b/>
          <w:sz w:val="20"/>
          <w:szCs w:val="20"/>
        </w:rPr>
        <w:t>О внесении изменений в решение Собрания представителей сельского поселения Борискино-Игар муниципального района Клявлинский от 29.04.2021г. № 11«О передаче осуществления части своих полномочий сельского поселения Борискино-Игар по решению вопросов местного значения»</w:t>
      </w:r>
    </w:p>
    <w:p w:rsidR="000D26B7" w:rsidRPr="000D26B7" w:rsidRDefault="000D26B7" w:rsidP="000D26B7">
      <w:pPr>
        <w:rPr>
          <w:sz w:val="16"/>
          <w:szCs w:val="16"/>
        </w:rPr>
      </w:pPr>
    </w:p>
    <w:p w:rsidR="000D26B7" w:rsidRPr="000D26B7" w:rsidRDefault="000D26B7" w:rsidP="000D26B7">
      <w:pPr>
        <w:ind w:firstLine="426"/>
        <w:jc w:val="both"/>
        <w:rPr>
          <w:sz w:val="16"/>
          <w:szCs w:val="16"/>
        </w:rPr>
      </w:pPr>
      <w:proofErr w:type="gramStart"/>
      <w:r w:rsidRPr="000D26B7">
        <w:rPr>
          <w:sz w:val="16"/>
          <w:szCs w:val="16"/>
        </w:rPr>
        <w:t>Руководствуясь Бюджетным кодексом Российской Федерации (далее – БК),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 муниципальных образований» (далее – 6-ФЗ), Федеральным законом от 05.04.2013г. № 44-ФЗ «О контрактной системе в сфере закупок товаров, работ, услуг для</w:t>
      </w:r>
      <w:proofErr w:type="gramEnd"/>
      <w:r w:rsidRPr="000D26B7">
        <w:rPr>
          <w:sz w:val="16"/>
          <w:szCs w:val="16"/>
        </w:rPr>
        <w:t xml:space="preserve"> </w:t>
      </w:r>
      <w:proofErr w:type="gramStart"/>
      <w:r w:rsidRPr="000D26B7">
        <w:rPr>
          <w:sz w:val="16"/>
          <w:szCs w:val="16"/>
        </w:rPr>
        <w:t>обеспечения государственных и муниципальных нужд» (далее – 44-ФЗ, Федеральным законом от 18.07.2011г. № 223-ФЗ «О закупках товаров, работ, услуг отдельными видами юридических лиц», статьей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 муниципального района Клявлинский РЕШИЛО:</w:t>
      </w:r>
      <w:proofErr w:type="gramEnd"/>
    </w:p>
    <w:p w:rsidR="000D26B7" w:rsidRPr="000D26B7" w:rsidRDefault="000D26B7" w:rsidP="000D26B7">
      <w:pPr>
        <w:pStyle w:val="a8"/>
        <w:numPr>
          <w:ilvl w:val="0"/>
          <w:numId w:val="29"/>
        </w:numPr>
        <w:tabs>
          <w:tab w:val="clear" w:pos="720"/>
          <w:tab w:val="num" w:pos="0"/>
        </w:tabs>
        <w:ind w:left="0"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Внести в решение Собрания представителей сельского поселения Борискино-Игар муниципального района Клявлинский от 29.04.2021г. № 11 «О передаче осуществления части полномочий сельского поселения Борискино-Игар по решению вопросов местного значения» (далее – решение) следующие изменения: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1.1.</w:t>
      </w:r>
      <w:r w:rsidRPr="000D26B7">
        <w:rPr>
          <w:sz w:val="16"/>
          <w:szCs w:val="16"/>
        </w:rPr>
        <w:tab/>
        <w:t>Пункт 1.2. решения изложить в следующей редакции: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lastRenderedPageBreak/>
        <w:t xml:space="preserve">«1.2. по исполнению бюджета (в том числе по казначейскому исполнению бюджета) сельского поселения Борискино-Игар муниципального района Клявлинский; 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 по осуществлению </w:t>
      </w:r>
      <w:proofErr w:type="gramStart"/>
      <w:r w:rsidRPr="000D26B7">
        <w:rPr>
          <w:sz w:val="16"/>
          <w:szCs w:val="16"/>
        </w:rPr>
        <w:t>контроля за</w:t>
      </w:r>
      <w:proofErr w:type="gramEnd"/>
      <w:r w:rsidRPr="000D26B7">
        <w:rPr>
          <w:sz w:val="16"/>
          <w:szCs w:val="16"/>
        </w:rPr>
        <w:t xml:space="preserve"> его исполнением, в том числе: 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- по осуществлению внешнего муниципального финансового контроля сельского поселения Борискино-Игар муниципального района Клявлинский (ч. 11 ст. 3 6-ФЗ);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- по осуществлению внутреннего муниципального финансового контроля сельского поселения Борискино-Игар муниципального района Клявлинский (ч. 8 ст. 99 44-ФЗ, ч. 4 ст. 157 БК РФ, ст. 269.2 БК РФ);  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- по ведению бухгалтерского учета сельского поселения Борискино-Игар муниципального района Клявлинский</w:t>
      </w:r>
      <w:proofErr w:type="gramStart"/>
      <w:r w:rsidRPr="000D26B7">
        <w:rPr>
          <w:sz w:val="16"/>
          <w:szCs w:val="16"/>
        </w:rPr>
        <w:t>;»</w:t>
      </w:r>
      <w:proofErr w:type="gramEnd"/>
      <w:r w:rsidRPr="000D26B7">
        <w:rPr>
          <w:sz w:val="16"/>
          <w:szCs w:val="16"/>
        </w:rPr>
        <w:t>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1.2.</w:t>
      </w:r>
      <w:r w:rsidRPr="000D26B7">
        <w:rPr>
          <w:sz w:val="16"/>
          <w:szCs w:val="16"/>
        </w:rPr>
        <w:tab/>
        <w:t>Пункт 2 решения изложить в следующей редакции: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«2. Заключать соглашения о передаче </w:t>
      </w:r>
      <w:proofErr w:type="gramStart"/>
      <w:r w:rsidRPr="000D26B7">
        <w:rPr>
          <w:sz w:val="16"/>
          <w:szCs w:val="16"/>
        </w:rPr>
        <w:t>осуществления части полномочий Собрания представителей сельского поселения</w:t>
      </w:r>
      <w:proofErr w:type="gramEnd"/>
      <w:r w:rsidRPr="000D26B7">
        <w:rPr>
          <w:sz w:val="16"/>
          <w:szCs w:val="16"/>
        </w:rPr>
        <w:t xml:space="preserve"> Борискино-Игар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Борискино-Игар муниципального района Клявлинский. Заключать соглашения о передаче осуществления части полномочий от Администрации сельского поселения Борискино-Игар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Борискино-Игар муниципального района Клявлинский.».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1.3. Пункты 4, 5, 6 решения считать пунктами 5, 6, 7 соответственно.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1.4. Пункт 4 решения изложить в следующей редакции: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 «4. Одобрить проект Соглашения между Собранием представителей сельского поселения Борискино-Игар 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2).».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1.7. Решение дополнить Приложением № 2 </w:t>
      </w:r>
      <w:proofErr w:type="gramStart"/>
      <w:r w:rsidRPr="000D26B7">
        <w:rPr>
          <w:sz w:val="16"/>
          <w:szCs w:val="16"/>
        </w:rPr>
        <w:t>согласно приложения</w:t>
      </w:r>
      <w:proofErr w:type="gramEnd"/>
      <w:r w:rsidRPr="000D26B7">
        <w:rPr>
          <w:sz w:val="16"/>
          <w:szCs w:val="16"/>
        </w:rPr>
        <w:t xml:space="preserve"> № 1 к настоящему решению.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2. Опубликовать настоящее решение в газете «Вести сельского поселения Борискино-Игар».</w:t>
      </w:r>
    </w:p>
    <w:p w:rsidR="000D26B7" w:rsidRPr="000D26B7" w:rsidRDefault="000D26B7" w:rsidP="000D26B7">
      <w:pPr>
        <w:tabs>
          <w:tab w:val="left" w:pos="851"/>
        </w:tabs>
        <w:autoSpaceDN w:val="0"/>
        <w:ind w:firstLine="426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3. Настоящее решение вступает в силу с 01.06.2022г.</w:t>
      </w: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 w:firstLine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2753B8" w:rsidRDefault="000D26B7" w:rsidP="002753B8">
      <w:pPr>
        <w:tabs>
          <w:tab w:val="left" w:pos="851"/>
        </w:tabs>
        <w:autoSpaceDN w:val="0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Председатель Собрания представителей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сельского поселения Борискино-Игар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муниципального района Клявлинский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>Самарской области                                                                    В.Б.Ефремова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                  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Глава сельского поселения  Борискино-Игар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муниципального района Клявлинский </w:t>
      </w:r>
    </w:p>
    <w:p w:rsidR="000D26B7" w:rsidRPr="000D26B7" w:rsidRDefault="000D26B7" w:rsidP="000D26B7">
      <w:pPr>
        <w:pStyle w:val="af8"/>
        <w:jc w:val="both"/>
        <w:outlineLvl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Самарской области                                                                     О.А. </w:t>
      </w:r>
      <w:proofErr w:type="spellStart"/>
      <w:r w:rsidRPr="000D26B7">
        <w:rPr>
          <w:sz w:val="16"/>
          <w:szCs w:val="16"/>
        </w:rPr>
        <w:t>Демендеев</w:t>
      </w:r>
      <w:proofErr w:type="spellEnd"/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0D26B7" w:rsidRDefault="000D26B7" w:rsidP="000D26B7">
      <w:pPr>
        <w:pStyle w:val="a8"/>
        <w:tabs>
          <w:tab w:val="left" w:pos="851"/>
        </w:tabs>
        <w:autoSpaceDN w:val="0"/>
        <w:ind w:left="426"/>
        <w:jc w:val="both"/>
        <w:rPr>
          <w:sz w:val="16"/>
          <w:szCs w:val="16"/>
        </w:rPr>
      </w:pPr>
    </w:p>
    <w:p w:rsidR="000D26B7" w:rsidRPr="002753B8" w:rsidRDefault="000D26B7" w:rsidP="002753B8">
      <w:pPr>
        <w:tabs>
          <w:tab w:val="left" w:pos="851"/>
        </w:tabs>
        <w:autoSpaceDN w:val="0"/>
        <w:jc w:val="both"/>
        <w:rPr>
          <w:sz w:val="16"/>
          <w:szCs w:val="16"/>
        </w:rPr>
      </w:pP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Приложение № 1 к решению Собрания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представителей муниципального района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Клявлинский  от 31.05.2022 № 10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Приложение № 2 к решению Собрания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представителей муниципального района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0D26B7">
        <w:rPr>
          <w:sz w:val="16"/>
          <w:szCs w:val="16"/>
        </w:rPr>
        <w:t>Клявлинский от 29.04.2021г. № 11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СОГЛАШЕНИЕ № _____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между Собранием представителей сельского поселения Борискино-Игар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муниципального района Клявлинский и Собранием представителей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 xml:space="preserve">муниципального района Клявлинский о передаче осуществления части своих полномочий  по осуществлению </w:t>
      </w:r>
      <w:proofErr w:type="gramStart"/>
      <w:r w:rsidRPr="000D26B7">
        <w:rPr>
          <w:b/>
          <w:sz w:val="16"/>
          <w:szCs w:val="16"/>
        </w:rPr>
        <w:t>контроля за</w:t>
      </w:r>
      <w:proofErr w:type="gramEnd"/>
      <w:r w:rsidRPr="000D26B7">
        <w:rPr>
          <w:b/>
          <w:sz w:val="16"/>
          <w:szCs w:val="16"/>
        </w:rPr>
        <w:t xml:space="preserve"> исполнением бюджета сельского поселения Борискино-Игар муниципального района Клявлинский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D26B7">
        <w:rPr>
          <w:sz w:val="16"/>
          <w:szCs w:val="16"/>
        </w:rPr>
        <w:t xml:space="preserve">  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rPr>
          <w:sz w:val="16"/>
          <w:szCs w:val="16"/>
          <w:vertAlign w:val="superscript"/>
        </w:rPr>
      </w:pPr>
      <w:r w:rsidRPr="000D26B7">
        <w:rPr>
          <w:sz w:val="16"/>
          <w:szCs w:val="16"/>
        </w:rPr>
        <w:t xml:space="preserve"> с. Борискино-Игар                                                                           «____»  _____ 20__ года                </w:t>
      </w:r>
      <w:r w:rsidRPr="000D26B7">
        <w:rPr>
          <w:i/>
          <w:sz w:val="16"/>
          <w:szCs w:val="16"/>
          <w:vertAlign w:val="superscript"/>
        </w:rPr>
        <w:t xml:space="preserve">                                                                                       </w:t>
      </w:r>
    </w:p>
    <w:p w:rsidR="000D26B7" w:rsidRPr="000D26B7" w:rsidRDefault="000D26B7" w:rsidP="000D26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16"/>
          <w:szCs w:val="16"/>
          <w:vertAlign w:val="superscript"/>
        </w:rPr>
      </w:pPr>
      <w:proofErr w:type="gramStart"/>
      <w:r w:rsidRPr="000D26B7">
        <w:rPr>
          <w:color w:val="000000"/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0D26B7">
          <w:rPr>
            <w:color w:val="000000"/>
            <w:sz w:val="16"/>
            <w:szCs w:val="16"/>
          </w:rPr>
          <w:t xml:space="preserve"> от 07.12.2011г.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D26B7">
        <w:rPr>
          <w:color w:val="000000"/>
          <w:sz w:val="16"/>
          <w:szCs w:val="16"/>
        </w:rPr>
        <w:t xml:space="preserve">, Собрание представителей муниципального района Клявлинский Самарской области </w:t>
      </w:r>
      <w:r w:rsidRPr="000D26B7">
        <w:rPr>
          <w:sz w:val="16"/>
          <w:szCs w:val="16"/>
        </w:rPr>
        <w:t>(далее – Собрание представителей района) в лице председателя ___________________, действующей</w:t>
      </w:r>
      <w:proofErr w:type="gramEnd"/>
      <w:r w:rsidRPr="000D26B7">
        <w:rPr>
          <w:sz w:val="16"/>
          <w:szCs w:val="16"/>
        </w:rPr>
        <w:t xml:space="preserve"> </w:t>
      </w:r>
      <w:proofErr w:type="gramStart"/>
      <w:r w:rsidRPr="000D26B7">
        <w:rPr>
          <w:sz w:val="16"/>
          <w:szCs w:val="16"/>
        </w:rPr>
        <w:t>на основании Устава муниципального района Клявлинский Самарской области  и Собрание представителей сельского поселения Борискино-Игар муниципального района Клявлинский Самарской области (далее – Собрание представителей поселения) в лице председателя _________________________,</w:t>
      </w:r>
      <w:r w:rsidRPr="000D26B7">
        <w:rPr>
          <w:i/>
          <w:sz w:val="16"/>
          <w:szCs w:val="16"/>
        </w:rPr>
        <w:t xml:space="preserve"> </w:t>
      </w:r>
      <w:r w:rsidRPr="000D26B7">
        <w:rPr>
          <w:color w:val="000000"/>
          <w:sz w:val="16"/>
          <w:szCs w:val="16"/>
        </w:rPr>
        <w:t xml:space="preserve">действующего на основании Устава сельского поселения Борискино-Игар муниципального района </w:t>
      </w:r>
      <w:r w:rsidRPr="000D26B7">
        <w:rPr>
          <w:sz w:val="16"/>
          <w:szCs w:val="16"/>
        </w:rPr>
        <w:t>Клявлинский</w:t>
      </w:r>
      <w:r w:rsidRPr="000D26B7">
        <w:rPr>
          <w:color w:val="000000"/>
          <w:sz w:val="16"/>
          <w:szCs w:val="16"/>
        </w:rPr>
        <w:t xml:space="preserve"> Самарской области, </w:t>
      </w:r>
      <w:r w:rsidRPr="000D26B7">
        <w:rPr>
          <w:sz w:val="16"/>
          <w:szCs w:val="16"/>
        </w:rPr>
        <w:t xml:space="preserve">далее именуемые «Стороны», заключили настоящее Соглашение во исполнение решения Собрания представителей сельского поселения Борискино-Игар муниципального района Клявлинский от </w:t>
      </w:r>
      <w:proofErr w:type="spellStart"/>
      <w:r w:rsidRPr="000D26B7">
        <w:rPr>
          <w:sz w:val="16"/>
          <w:szCs w:val="16"/>
        </w:rPr>
        <w:t>__________г</w:t>
      </w:r>
      <w:proofErr w:type="spellEnd"/>
      <w:r w:rsidRPr="000D26B7">
        <w:rPr>
          <w:sz w:val="16"/>
          <w:szCs w:val="16"/>
        </w:rPr>
        <w:t>. № ___ и решения  Собрания</w:t>
      </w:r>
      <w:proofErr w:type="gramEnd"/>
      <w:r w:rsidRPr="000D26B7">
        <w:rPr>
          <w:sz w:val="16"/>
          <w:szCs w:val="16"/>
        </w:rPr>
        <w:t xml:space="preserve"> представителей муниципального района Клявлинский от </w:t>
      </w:r>
      <w:proofErr w:type="spellStart"/>
      <w:r w:rsidRPr="000D26B7">
        <w:rPr>
          <w:sz w:val="16"/>
          <w:szCs w:val="16"/>
        </w:rPr>
        <w:t>__________</w:t>
      </w:r>
      <w:proofErr w:type="gramStart"/>
      <w:r w:rsidRPr="000D26B7">
        <w:rPr>
          <w:sz w:val="16"/>
          <w:szCs w:val="16"/>
        </w:rPr>
        <w:t>г</w:t>
      </w:r>
      <w:proofErr w:type="spellEnd"/>
      <w:proofErr w:type="gramEnd"/>
      <w:r w:rsidRPr="000D26B7">
        <w:rPr>
          <w:sz w:val="16"/>
          <w:szCs w:val="16"/>
        </w:rPr>
        <w:t>.  № ___ о нижеследующем.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1. ПРЕДМЕТ СОГЛАШЕНИЯ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D26B7">
        <w:rPr>
          <w:color w:val="000000"/>
          <w:sz w:val="16"/>
          <w:szCs w:val="16"/>
        </w:rPr>
        <w:t xml:space="preserve">Предметом настоящего Соглашения является передача Собранием представителей поселения осуществления части своих полномочий  по осуществлению </w:t>
      </w:r>
      <w:proofErr w:type="gramStart"/>
      <w:r w:rsidRPr="000D26B7">
        <w:rPr>
          <w:color w:val="000000"/>
          <w:sz w:val="16"/>
          <w:szCs w:val="16"/>
        </w:rPr>
        <w:t>контроля за</w:t>
      </w:r>
      <w:proofErr w:type="gramEnd"/>
      <w:r w:rsidRPr="000D26B7">
        <w:rPr>
          <w:color w:val="000000"/>
          <w:sz w:val="16"/>
          <w:szCs w:val="16"/>
        </w:rPr>
        <w:t xml:space="preserve"> исполнением бюджета сельского поселения Борискино-Игар муниципального района Клявлинский </w:t>
      </w:r>
      <w:r w:rsidRPr="000D26B7">
        <w:rPr>
          <w:sz w:val="16"/>
          <w:szCs w:val="16"/>
        </w:rPr>
        <w:t>в части осуществления внешнего муниципального финансового контроля.</w:t>
      </w:r>
    </w:p>
    <w:p w:rsidR="000D26B7" w:rsidRPr="000D26B7" w:rsidRDefault="000D26B7" w:rsidP="002753B8">
      <w:pPr>
        <w:widowControl w:val="0"/>
        <w:numPr>
          <w:ilvl w:val="1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Во исполнение настоящего Соглашения Счетная  палата муниципального района Клявлинский Самарской области принимает на себя полномочия контрольно-счетного органа сельского поселения Борискино-Игар муниципального района </w:t>
      </w:r>
      <w:r w:rsidRPr="000D26B7">
        <w:rPr>
          <w:sz w:val="16"/>
          <w:szCs w:val="16"/>
        </w:rPr>
        <w:lastRenderedPageBreak/>
        <w:t>Клявлинский Самарской области.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left="495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2. ПОРЯДОК ОПРЕДЕЛЕНИЯ ЕЖЕГОДНОГО ОБЪЕМА МЕЖБЮДЖЕТНЫХ ТРАНСФЕРТОВ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Борискино-Игар муниципального района Клявлинский Самарской области в бюджет муниципального района Клявлинский в соответствии с БК РФ.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Борискино-Игар муниципального района Клявлинский Самарской области на соответствующий год и плановый период.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2.3.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числе: на 20__ год в размере ____ руб., 20__ год  _____ руб., 20__ год  _____ руб.           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2.4. Формирование, перечисление и учет межбюджетных трансфертов, предоставляемых из бюджета сельского поселения бюджету муниципального района на реализацию полномочий, указанных в </w:t>
      </w:r>
      <w:hyperlink r:id="rId9" w:anchor="Par24" w:history="1">
        <w:r w:rsidRPr="000D26B7">
          <w:rPr>
            <w:color w:val="0000FF"/>
            <w:sz w:val="16"/>
            <w:szCs w:val="16"/>
            <w:u w:val="single"/>
          </w:rPr>
          <w:t>п.</w:t>
        </w:r>
      </w:hyperlink>
      <w:r w:rsidRPr="000D26B7">
        <w:rPr>
          <w:sz w:val="16"/>
          <w:szCs w:val="16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3. ПРАВА И ОБЯЗАННОСТИ СТОРОН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3.1. Собрание представителей поселения: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3.1.1. Перечисляет Собранию представителей муниципального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10" w:anchor="Par29" w:history="1">
        <w:r w:rsidRPr="000D26B7">
          <w:rPr>
            <w:color w:val="0000FF"/>
            <w:sz w:val="16"/>
            <w:szCs w:val="16"/>
            <w:u w:val="single"/>
          </w:rPr>
          <w:t>разделом 2</w:t>
        </w:r>
      </w:hyperlink>
      <w:r w:rsidRPr="000D26B7">
        <w:rPr>
          <w:sz w:val="16"/>
          <w:szCs w:val="16"/>
        </w:rPr>
        <w:t xml:space="preserve"> настоящего Соглашения.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3.2. Собрание представителей муниципального района: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3.2.1. Осуществляет переданные  Собранием представителей поселения полномочия в соответствии с </w:t>
      </w:r>
      <w:hyperlink r:id="rId11" w:anchor="Par24" w:history="1">
        <w:r w:rsidRPr="000D26B7">
          <w:rPr>
            <w:color w:val="0000FF"/>
            <w:sz w:val="16"/>
            <w:szCs w:val="16"/>
            <w:u w:val="single"/>
          </w:rPr>
          <w:t>п.</w:t>
        </w:r>
      </w:hyperlink>
      <w:r w:rsidRPr="000D26B7">
        <w:rPr>
          <w:sz w:val="16"/>
          <w:szCs w:val="16"/>
        </w:rPr>
        <w:t xml:space="preserve"> 1.1. настоящего Соглашения и действующим законодательством в </w:t>
      </w:r>
      <w:proofErr w:type="gramStart"/>
      <w:r w:rsidRPr="000D26B7">
        <w:rPr>
          <w:sz w:val="16"/>
          <w:szCs w:val="16"/>
        </w:rPr>
        <w:t>пределах</w:t>
      </w:r>
      <w:proofErr w:type="gramEnd"/>
      <w:r w:rsidRPr="000D26B7">
        <w:rPr>
          <w:sz w:val="16"/>
          <w:szCs w:val="16"/>
        </w:rPr>
        <w:t xml:space="preserve"> выделенных на эти цели финансовых средств.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3.2.2.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Собранию представителей поселения.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3.3.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срок. Собрание представителей поселения рассматривает такое сообщение в течение 7 дней с момента его поступления.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4. СРОК ДЕЙСТВИЯ СОГЛАШЕНИЯ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26B7">
        <w:rPr>
          <w:b/>
          <w:sz w:val="16"/>
          <w:szCs w:val="16"/>
        </w:rPr>
        <w:tab/>
      </w:r>
      <w:r w:rsidRPr="000D26B7">
        <w:rPr>
          <w:sz w:val="16"/>
          <w:szCs w:val="16"/>
        </w:rPr>
        <w:t>4.1. Настоящее Соглашение заключено сроком на 3 года и действует с 01.06.2022 г. по 31.12.2024г.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5. ОТВЕТСТВЕННОСТЬ СТОРОН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 xml:space="preserve">5.1.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Соглашения. </w:t>
      </w:r>
      <w:proofErr w:type="gramStart"/>
      <w:r w:rsidRPr="000D26B7">
        <w:rPr>
          <w:sz w:val="16"/>
          <w:szCs w:val="1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5.2. Собрание представителей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5.3. В случае неисполнения Собранием представителей поселения  вытекающих из настоящего Соглашения обязательств по финансированию осуществления Собранием представителей муниципального района переданных  полномочий, Собрание представителей муниципального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6. ОСНОВАНИЯ И ПОРЯДОК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ПРЕКРАЩЕНИЯ ДЕЙСТВИЯ СОГЛАШЕНИЯ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6.1. Действие настоящего Соглашения может быть прекращено досрочно: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6.1.1. по соглашению Сторон.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6.1.2. в одностороннем порядке в случае: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7. ЗАКЛЮЧИТЕЛЬНЫЕ ПОЛОЖЕНИЯ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D26B7">
        <w:rPr>
          <w:sz w:val="16"/>
          <w:szCs w:val="16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D26B7">
        <w:rPr>
          <w:b/>
          <w:sz w:val="16"/>
          <w:szCs w:val="16"/>
        </w:rPr>
        <w:t>8. РЕКВИЗИТЫ И ПОДПИСИ СТОРОН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 xml:space="preserve">Собрание </w:t>
      </w:r>
      <w:proofErr w:type="gramStart"/>
      <w:r w:rsidRPr="000D26B7">
        <w:rPr>
          <w:rFonts w:eastAsiaTheme="minorEastAsia"/>
          <w:sz w:val="16"/>
          <w:szCs w:val="16"/>
        </w:rPr>
        <w:t>представителей поселения                   Собрания представителей района</w:t>
      </w:r>
      <w:proofErr w:type="gramEnd"/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lastRenderedPageBreak/>
        <w:t xml:space="preserve">      (адрес места нахождения)                </w:t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  <w:t xml:space="preserve">  (адрес места нахождения)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>_______________________________             ________________________________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 xml:space="preserve">        (реквизиты счета)                                                    (реквизиты счета)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>Председатель Собрания представителей         Председатель Собрания представителей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 xml:space="preserve">                       Поселения</w:t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</w:r>
      <w:r w:rsidRPr="000D26B7">
        <w:rPr>
          <w:rFonts w:eastAsiaTheme="minorEastAsia"/>
          <w:sz w:val="16"/>
          <w:szCs w:val="16"/>
        </w:rPr>
        <w:tab/>
        <w:t>района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>________________________________            _________________________________</w:t>
      </w:r>
    </w:p>
    <w:p w:rsidR="000D26B7" w:rsidRPr="000D26B7" w:rsidRDefault="000D26B7" w:rsidP="002753B8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 xml:space="preserve">   (подпись, фамилия, имя, отчество)                 (подпись, фамилия, имя, отчество)</w:t>
      </w:r>
    </w:p>
    <w:p w:rsidR="000D26B7" w:rsidRPr="000D26B7" w:rsidRDefault="000D26B7" w:rsidP="000D26B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E33092" w:rsidRPr="00E33092" w:rsidRDefault="00E33092" w:rsidP="0042249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33092">
        <w:rPr>
          <w:rFonts w:ascii="Times New Roman" w:eastAsiaTheme="minorEastAsia" w:hAnsi="Times New Roman"/>
          <w:b/>
          <w:sz w:val="20"/>
          <w:szCs w:val="20"/>
        </w:rPr>
        <w:t>Постановление Администрации</w:t>
      </w:r>
      <w:r w:rsidR="000D26B7" w:rsidRPr="00E33092">
        <w:rPr>
          <w:rFonts w:ascii="Times New Roman" w:eastAsiaTheme="minorEastAsia" w:hAnsi="Times New Roman"/>
          <w:b/>
          <w:sz w:val="20"/>
          <w:szCs w:val="20"/>
        </w:rPr>
        <w:t xml:space="preserve">    </w:t>
      </w:r>
      <w:r w:rsidRPr="00E33092">
        <w:rPr>
          <w:rFonts w:ascii="Times New Roman" w:hAnsi="Times New Roman"/>
          <w:b/>
          <w:sz w:val="20"/>
          <w:szCs w:val="20"/>
        </w:rPr>
        <w:t>сельского поселения Борискино-Игар муниципального района Клявлинский Самарской области от 03.06.2022г. №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092">
        <w:rPr>
          <w:rFonts w:ascii="Times New Roman" w:hAnsi="Times New Roman"/>
          <w:b/>
          <w:sz w:val="20"/>
          <w:szCs w:val="20"/>
        </w:rPr>
        <w:t>21</w:t>
      </w:r>
      <w:r w:rsidR="000D26B7" w:rsidRPr="00E33092">
        <w:rPr>
          <w:rFonts w:ascii="Times New Roman" w:eastAsiaTheme="minorEastAsia" w:hAnsi="Times New Roman"/>
          <w:b/>
          <w:sz w:val="20"/>
          <w:szCs w:val="20"/>
        </w:rPr>
        <w:t xml:space="preserve">     </w:t>
      </w:r>
      <w:r>
        <w:rPr>
          <w:rFonts w:ascii="Times New Roman" w:eastAsiaTheme="minorEastAsia" w:hAnsi="Times New Roman"/>
          <w:b/>
          <w:sz w:val="20"/>
          <w:szCs w:val="20"/>
        </w:rPr>
        <w:t>«</w:t>
      </w:r>
      <w:r w:rsidRPr="00E33092">
        <w:rPr>
          <w:rFonts w:ascii="Times New Roman" w:hAnsi="Times New Roman"/>
          <w:b/>
          <w:sz w:val="20"/>
          <w:szCs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Pr="00E33092">
        <w:rPr>
          <w:rFonts w:ascii="Times New Roman" w:hAnsi="Times New Roman"/>
          <w:b/>
          <w:sz w:val="20"/>
          <w:szCs w:val="20"/>
        </w:rPr>
        <w:t>"Р</w:t>
      </w:r>
      <w:proofErr w:type="gramEnd"/>
      <w:r w:rsidRPr="00E33092">
        <w:rPr>
          <w:rFonts w:ascii="Times New Roman" w:hAnsi="Times New Roman"/>
          <w:b/>
          <w:sz w:val="20"/>
          <w:szCs w:val="20"/>
        </w:rPr>
        <w:t>азвитие органов местного самоуправления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092">
        <w:rPr>
          <w:rFonts w:ascii="Times New Roman" w:hAnsi="Times New Roman"/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092">
        <w:rPr>
          <w:rFonts w:ascii="Times New Roman" w:hAnsi="Times New Roman"/>
          <w:b/>
          <w:sz w:val="20"/>
          <w:szCs w:val="20"/>
        </w:rPr>
        <w:t>района Клявлинский  Самарской области на 2018 - 2025 годы"</w:t>
      </w:r>
    </w:p>
    <w:p w:rsidR="00E33092" w:rsidRPr="00E33092" w:rsidRDefault="00E33092" w:rsidP="00E33092">
      <w:pPr>
        <w:pStyle w:val="ConsPlusNormal"/>
        <w:ind w:firstLine="0"/>
        <w:jc w:val="both"/>
        <w:rPr>
          <w:sz w:val="16"/>
          <w:szCs w:val="16"/>
        </w:rPr>
      </w:pPr>
    </w:p>
    <w:p w:rsidR="00E33092" w:rsidRPr="00E33092" w:rsidRDefault="00E33092" w:rsidP="00E330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33092">
        <w:rPr>
          <w:sz w:val="16"/>
          <w:szCs w:val="16"/>
        </w:rPr>
        <w:t xml:space="preserve">     </w:t>
      </w:r>
      <w:proofErr w:type="gramStart"/>
      <w:r w:rsidRPr="00E33092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12" w:history="1">
        <w:r w:rsidRPr="00E33092">
          <w:rPr>
            <w:sz w:val="16"/>
            <w:szCs w:val="16"/>
          </w:rPr>
          <w:t>постановлением</w:t>
        </w:r>
      </w:hyperlink>
      <w:r w:rsidRPr="00E33092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E33092">
        <w:rPr>
          <w:bCs/>
          <w:spacing w:val="-1"/>
          <w:sz w:val="16"/>
          <w:szCs w:val="16"/>
        </w:rPr>
        <w:t>.06.2015 г. № 8  «</w:t>
      </w:r>
      <w:r w:rsidRPr="00E33092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3" w:history="1">
        <w:r w:rsidRPr="00E33092">
          <w:rPr>
            <w:sz w:val="16"/>
            <w:szCs w:val="16"/>
          </w:rPr>
          <w:t>Уставом</w:t>
        </w:r>
      </w:hyperlink>
      <w:r w:rsidRPr="00E33092">
        <w:rPr>
          <w:sz w:val="16"/>
          <w:szCs w:val="16"/>
        </w:rPr>
        <w:t xml:space="preserve"> сельского поселения Борискино-Игар</w:t>
      </w:r>
      <w:proofErr w:type="gramEnd"/>
      <w:r w:rsidRPr="00E33092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E33092" w:rsidRPr="00E33092" w:rsidRDefault="00E33092" w:rsidP="00E3309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33092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E33092" w:rsidRPr="00E33092" w:rsidRDefault="00E33092" w:rsidP="00E3309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E33092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E33092" w:rsidRPr="00E33092" w:rsidTr="00A41284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E33092" w:rsidRPr="00E33092" w:rsidRDefault="00E33092" w:rsidP="00A41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67446,895 тыс. руб., в том числе по годам: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в 2022 г. -  10159,308тыс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7615,646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8563,715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8462,135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60035,826 тыс. руб., в том числе по годам: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2022 г. -  9002,238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7517,396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8462,135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8462,135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   6761,949тыс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2025 г. -  0,000 </w:t>
            </w:r>
            <w:proofErr w:type="spell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92" w:rsidRPr="00E33092" w:rsidRDefault="00E33092" w:rsidP="00A412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2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E33092" w:rsidRPr="00E33092" w:rsidRDefault="00E33092" w:rsidP="00E3309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E33092" w:rsidRPr="00E33092" w:rsidRDefault="00E33092" w:rsidP="00E33092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67446,895тыс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2022 г. – 10159,308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2023 г. - 7615,646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2024 г. -  8563,715тыс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60035,826 тыс. руб., в том числе по годам: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2022 г. – 9002,238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2023 г. – 7517,396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2024 г. -  8462,135тыс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2025 г. -  8462,135тыс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2) средства областного бюджета- 6761,949тыс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уб.,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том числе: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уб.,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3092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E3309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309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309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3092">
        <w:rPr>
          <w:rFonts w:ascii="Times New Roman" w:hAnsi="Times New Roman" w:cs="Times New Roman"/>
          <w:sz w:val="16"/>
          <w:szCs w:val="16"/>
        </w:rPr>
        <w:t>;</w:t>
      </w: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3092" w:rsidRPr="00E33092" w:rsidRDefault="00E33092" w:rsidP="00E33092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E33092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E33092" w:rsidRPr="00E33092" w:rsidRDefault="00E33092" w:rsidP="00E3309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33092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E33092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E33092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E33092" w:rsidRPr="00E33092" w:rsidRDefault="00E33092" w:rsidP="00E3309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33092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01.05.2022г.</w:t>
      </w:r>
    </w:p>
    <w:p w:rsidR="00E33092" w:rsidRPr="00E33092" w:rsidRDefault="00E33092" w:rsidP="00E33092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E33092" w:rsidRPr="00E33092" w:rsidRDefault="00E33092" w:rsidP="00E33092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E33092" w:rsidRPr="00E33092" w:rsidRDefault="00E33092" w:rsidP="00E33092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E33092" w:rsidRPr="00E33092" w:rsidRDefault="00E33092" w:rsidP="00E33092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E33092">
        <w:rPr>
          <w:sz w:val="16"/>
          <w:szCs w:val="16"/>
        </w:rPr>
        <w:t xml:space="preserve">Глава сельского поселения Борискино-Игар          </w:t>
      </w:r>
      <w:r w:rsidRPr="00E33092">
        <w:rPr>
          <w:sz w:val="16"/>
          <w:szCs w:val="16"/>
        </w:rPr>
        <w:tab/>
        <w:t xml:space="preserve">                                </w:t>
      </w:r>
    </w:p>
    <w:p w:rsidR="00E33092" w:rsidRPr="00E33092" w:rsidRDefault="00E33092" w:rsidP="00E3309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33092">
        <w:rPr>
          <w:sz w:val="16"/>
          <w:szCs w:val="16"/>
        </w:rPr>
        <w:t xml:space="preserve">муниципального района Клявлинский </w:t>
      </w:r>
    </w:p>
    <w:p w:rsidR="00E33092" w:rsidRPr="00E33092" w:rsidRDefault="00E33092" w:rsidP="00E3309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33092">
        <w:rPr>
          <w:sz w:val="16"/>
          <w:szCs w:val="16"/>
        </w:rPr>
        <w:t xml:space="preserve">Самарской области                                                                  </w:t>
      </w:r>
      <w:proofErr w:type="spellStart"/>
      <w:r w:rsidRPr="00E33092">
        <w:rPr>
          <w:sz w:val="16"/>
          <w:szCs w:val="16"/>
        </w:rPr>
        <w:t>О.А.Демендеев</w:t>
      </w:r>
      <w:proofErr w:type="spellEnd"/>
    </w:p>
    <w:p w:rsidR="00E33092" w:rsidRPr="009206E6" w:rsidRDefault="00E33092" w:rsidP="00E33092"/>
    <w:p w:rsidR="000D26B7" w:rsidRPr="000D26B7" w:rsidRDefault="000D26B7" w:rsidP="000D26B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D26B7">
        <w:rPr>
          <w:rFonts w:eastAsiaTheme="minorEastAsia"/>
          <w:sz w:val="16"/>
          <w:szCs w:val="16"/>
        </w:rPr>
        <w:t xml:space="preserve">      </w:t>
      </w:r>
    </w:p>
    <w:p w:rsidR="000D26B7" w:rsidRDefault="000D26B7" w:rsidP="000D26B7">
      <w:pPr>
        <w:widowControl w:val="0"/>
        <w:autoSpaceDE w:val="0"/>
        <w:autoSpaceDN w:val="0"/>
        <w:adjustRightInd w:val="0"/>
      </w:pPr>
      <w:r w:rsidRPr="00B27008">
        <w:rPr>
          <w:rFonts w:eastAsiaTheme="minorEastAsia"/>
        </w:rPr>
        <w:t xml:space="preserve">              </w:t>
      </w:r>
      <w:r w:rsidR="002753B8">
        <w:rPr>
          <w:rFonts w:eastAsiaTheme="minorEastAsia"/>
        </w:rPr>
        <w:t xml:space="preserve">   </w:t>
      </w:r>
      <w:r w:rsidRPr="00B27008">
        <w:rPr>
          <w:rFonts w:eastAsiaTheme="minorEastAsia"/>
        </w:rPr>
        <w:tab/>
      </w:r>
      <w:r w:rsidRPr="00B27008">
        <w:rPr>
          <w:rFonts w:eastAsiaTheme="minorEastAsia"/>
        </w:rPr>
        <w:tab/>
      </w:r>
      <w:r w:rsidRPr="00B27008">
        <w:rPr>
          <w:rFonts w:eastAsiaTheme="minorEastAsia"/>
        </w:rPr>
        <w:tab/>
      </w:r>
      <w:r w:rsidRPr="00B27008">
        <w:rPr>
          <w:rFonts w:eastAsiaTheme="minorEastAsia"/>
        </w:rPr>
        <w:tab/>
      </w:r>
      <w:r w:rsidRPr="00B27008">
        <w:rPr>
          <w:rFonts w:eastAsiaTheme="minorEastAsia"/>
        </w:rPr>
        <w:tab/>
      </w:r>
      <w:bookmarkStart w:id="0" w:name="_GoBack"/>
      <w:bookmarkEnd w:id="0"/>
    </w:p>
    <w:p w:rsidR="008C2167" w:rsidRDefault="00F26502" w:rsidP="000D26B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26502">
        <w:rPr>
          <w:rFonts w:ascii="Times New Roman" w:hAnsi="Times New Roman"/>
          <w:b/>
          <w:sz w:val="20"/>
          <w:szCs w:val="20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31.05.2022г. №11 «О внесении изменений в Решение Собрания </w:t>
      </w:r>
      <w:r w:rsidRPr="00F26502">
        <w:rPr>
          <w:rFonts w:ascii="Times New Roman" w:hAnsi="Times New Roman"/>
          <w:b/>
          <w:sz w:val="20"/>
          <w:szCs w:val="20"/>
        </w:rPr>
        <w:lastRenderedPageBreak/>
        <w:t xml:space="preserve">представителей сельского поселения Борискино-Игар муниципального района Клявлинский Самарской области «О бюджете сельского поселения Борискино-Игар на 2022 год и плановый период 2023 и 2024 годов» № 39 от 28.12.2021г.  </w:t>
      </w:r>
    </w:p>
    <w:p w:rsidR="00F26502" w:rsidRDefault="00F26502" w:rsidP="000D26B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0"/>
        <w:gridCol w:w="4279"/>
        <w:gridCol w:w="2576"/>
        <w:gridCol w:w="1007"/>
        <w:gridCol w:w="1006"/>
        <w:gridCol w:w="45"/>
        <w:gridCol w:w="381"/>
        <w:gridCol w:w="218"/>
        <w:gridCol w:w="222"/>
        <w:gridCol w:w="142"/>
        <w:gridCol w:w="42"/>
        <w:gridCol w:w="284"/>
      </w:tblGrid>
      <w:tr w:rsidR="00F26502" w:rsidTr="000B501D">
        <w:trPr>
          <w:trHeight w:val="390"/>
        </w:trPr>
        <w:tc>
          <w:tcPr>
            <w:tcW w:w="11147" w:type="dxa"/>
            <w:gridSpan w:val="13"/>
            <w:vAlign w:val="bottom"/>
          </w:tcPr>
          <w:p w:rsidR="00F26502" w:rsidRPr="00F26502" w:rsidRDefault="00F26502" w:rsidP="000B501D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F26502" w:rsidRPr="00F26502" w:rsidTr="000B501D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F26502" w:rsidRPr="00F26502" w:rsidTr="000B501D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F26502" w:rsidRPr="00F26502" w:rsidRDefault="00F26502" w:rsidP="00F26502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26502">
                          <w:rPr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</w:tc>
                  </w:tr>
                  <w:tr w:rsidR="00F26502" w:rsidRPr="00F26502" w:rsidTr="000B501D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F26502" w:rsidRPr="00F26502" w:rsidTr="000B501D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№3,от 29.04.2022 №8  следующие изменения: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«10126,076» заменить словами</w:t>
                              </w:r>
                              <w:r w:rsidRPr="00F2650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« 10728,180 »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«10672,161» заменить словами «11274,265 »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1.2.  статью 4  п.1,2 Решения изложить в следующей редакции: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2. «1. Утвердить объем межбюджетных трансфертов, получаемых из областного бюджета: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2022году – 1157,070тыс. рублей;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2023году – 98,250тыс. рублей;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2024году – 101,580тыс. рублей;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  2.Утвердить  объем безвозмездных поступлений в доход бюджета сельского поселения: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2022году – 7508,561тыс. рублей;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1.3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фонд местной администрации: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2022 году – 38,142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1.4.Статью 12  Решения  изложить в следующей редакции: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«Утвердить объем межбюджетных трансфертов, предоставляемых из бюджета сельского поселения в бюджет муниципального района: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2022 году – 2859,197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2023 году – 2974,883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F26502" w:rsidRPr="00F26502" w:rsidRDefault="00F26502" w:rsidP="000B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в 2024 году – 3058,221 тыс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ублей.» 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1.5. Приложение 3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1.6. Приложение 4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1.7. Приложение 5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1.8. Приложение 6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1.9. Приложение 7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1.10. Приложение 8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1.11. Приложение 11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1.12. Приложение 12 к Решению изложить в новой редакции 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  и  официальное опубликование.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01.05.2022г.</w:t>
                              </w: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26502" w:rsidRPr="00F26502" w:rsidRDefault="00F26502" w:rsidP="000B50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26502" w:rsidRPr="00F26502" w:rsidRDefault="00F26502" w:rsidP="000B501D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F26502" w:rsidRPr="00F26502" w:rsidRDefault="00F26502" w:rsidP="000B501D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F2650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F26502" w:rsidRPr="00F26502" w:rsidRDefault="00F26502" w:rsidP="000B501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6502" w:rsidRPr="00F26502" w:rsidRDefault="00F26502" w:rsidP="000B501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26502" w:rsidRPr="00F26502" w:rsidRDefault="00F26502" w:rsidP="000B501D">
            <w:pPr>
              <w:rPr>
                <w:bCs/>
                <w:sz w:val="16"/>
                <w:szCs w:val="16"/>
              </w:rPr>
            </w:pPr>
            <w:r w:rsidRPr="00F26502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</w:t>
            </w:r>
            <w:proofErr w:type="spellStart"/>
            <w:r w:rsidRPr="00F26502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F26502" w:rsidRPr="00F26502" w:rsidTr="000B501D">
        <w:trPr>
          <w:gridBefore w:val="1"/>
          <w:gridAfter w:val="3"/>
          <w:wBefore w:w="421" w:type="dxa"/>
          <w:wAfter w:w="467" w:type="dxa"/>
          <w:trHeight w:val="25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1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тыс</w:t>
            </w:r>
            <w:proofErr w:type="gramStart"/>
            <w:r w:rsidRPr="00F26502">
              <w:rPr>
                <w:sz w:val="16"/>
                <w:szCs w:val="16"/>
              </w:rPr>
              <w:t>.р</w:t>
            </w:r>
            <w:proofErr w:type="gramEnd"/>
            <w:r w:rsidRPr="00F26502">
              <w:rPr>
                <w:sz w:val="16"/>
                <w:szCs w:val="16"/>
              </w:rPr>
              <w:t>уб.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F26502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F26502" w:rsidRPr="00F26502" w:rsidRDefault="00F26502" w:rsidP="000B501D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10728,180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10057,789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3420,858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499,000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530,000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F26502">
              <w:rPr>
                <w:sz w:val="16"/>
                <w:szCs w:val="16"/>
              </w:rPr>
              <w:t>м(</w:t>
            </w:r>
            <w:proofErr w:type="gramEnd"/>
            <w:r w:rsidRPr="00F26502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998,000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1038,000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162,000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168,000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763,000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794,000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18,288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18,288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7508,561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6636,931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3858,968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3913,829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2340,384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1462,496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2621,522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</w:t>
            </w:r>
          </w:p>
        </w:tc>
      </w:tr>
    </w:tbl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26502" w:rsidRPr="00F26502" w:rsidTr="000B501D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F26502" w:rsidRPr="00F26502" w:rsidTr="000B501D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F26502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F26502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F26502" w:rsidRPr="00F26502" w:rsidRDefault="00F26502" w:rsidP="00F26502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F26502" w:rsidRPr="00F26502" w:rsidTr="000B501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2650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F26502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F26502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F26502" w:rsidRPr="00F26502" w:rsidTr="000B501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F26502" w:rsidRPr="00F26502" w:rsidTr="000B501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Cs/>
                <w:sz w:val="16"/>
                <w:szCs w:val="16"/>
              </w:rPr>
            </w:pPr>
            <w:r w:rsidRPr="00F26502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Cs/>
                <w:sz w:val="16"/>
                <w:szCs w:val="16"/>
              </w:rPr>
            </w:pPr>
            <w:r w:rsidRPr="00F26502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Cs/>
                <w:sz w:val="16"/>
                <w:szCs w:val="16"/>
              </w:rPr>
            </w:pPr>
            <w:r w:rsidRPr="00F26502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proofErr w:type="spellStart"/>
            <w:r w:rsidRPr="00F26502">
              <w:rPr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proofErr w:type="spellStart"/>
            <w:r w:rsidRPr="00F26502">
              <w:rPr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F26502" w:rsidRPr="00F26502" w:rsidTr="000B501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95,170</w:t>
            </w:r>
          </w:p>
        </w:tc>
      </w:tr>
      <w:tr w:rsidR="00F26502" w:rsidRPr="00F26502" w:rsidTr="000B501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</w:tr>
      <w:tr w:rsidR="00F26502" w:rsidRPr="00F26502" w:rsidTr="000B501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</w:tr>
      <w:tr w:rsidR="00F26502" w:rsidRPr="00F26502" w:rsidTr="000B501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F26502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F26502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F26502" w:rsidRPr="00F26502" w:rsidTr="000B501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1061,900</w:t>
            </w:r>
          </w:p>
        </w:tc>
      </w:tr>
      <w:tr w:rsidR="00F26502" w:rsidRPr="00F26502" w:rsidTr="000B501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1061,900</w:t>
            </w:r>
          </w:p>
        </w:tc>
      </w:tr>
      <w:tr w:rsidR="00F26502" w:rsidRPr="00F26502" w:rsidTr="000B501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1061,900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26502" w:rsidRPr="00F26502" w:rsidTr="00F26502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F26502" w:rsidRPr="00F26502" w:rsidTr="00F26502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F26502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F26502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F26502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  <w:r w:rsidRPr="00F26502">
        <w:rPr>
          <w:sz w:val="16"/>
          <w:szCs w:val="16"/>
        </w:rPr>
        <w:t xml:space="preserve">              </w:t>
      </w:r>
    </w:p>
    <w:p w:rsidR="00F26502" w:rsidRPr="00F26502" w:rsidRDefault="00F26502" w:rsidP="00F26502">
      <w:pPr>
        <w:rPr>
          <w:b/>
          <w:sz w:val="16"/>
          <w:szCs w:val="16"/>
        </w:rPr>
      </w:pPr>
      <w:r w:rsidRPr="00F26502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F26502" w:rsidRPr="00F26502" w:rsidRDefault="00F26502" w:rsidP="00F26502">
      <w:pPr>
        <w:rPr>
          <w:b/>
          <w:sz w:val="16"/>
          <w:szCs w:val="16"/>
        </w:rPr>
      </w:pPr>
      <w:r w:rsidRPr="00F26502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60"/>
        <w:gridCol w:w="1420"/>
        <w:gridCol w:w="1340"/>
      </w:tblGrid>
      <w:tr w:rsidR="00F26502" w:rsidRPr="00F26502" w:rsidTr="000B501D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2650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F26502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F26502" w:rsidRPr="00F26502" w:rsidTr="000B501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38,142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26502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F2650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F26502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F26502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2624,260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484,410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2136,050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11274,265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1157,070</w:t>
            </w:r>
          </w:p>
        </w:tc>
      </w:tr>
    </w:tbl>
    <w:p w:rsidR="00F26502" w:rsidRDefault="00F26502" w:rsidP="00F26502"/>
    <w:p w:rsidR="00F26502" w:rsidRDefault="00F26502" w:rsidP="00F26502"/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26502" w:rsidRPr="00F26502" w:rsidTr="000B501D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Приложение №6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26502" w:rsidRPr="00F26502" w:rsidRDefault="00F26502" w:rsidP="00F26502">
      <w:pPr>
        <w:rPr>
          <w:b/>
          <w:sz w:val="16"/>
          <w:szCs w:val="16"/>
        </w:rPr>
      </w:pPr>
      <w:r w:rsidRPr="00F26502">
        <w:rPr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2023-2024            годов 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3648"/>
        <w:gridCol w:w="709"/>
        <w:gridCol w:w="1274"/>
        <w:gridCol w:w="607"/>
        <w:gridCol w:w="1133"/>
        <w:gridCol w:w="851"/>
        <w:gridCol w:w="1134"/>
        <w:gridCol w:w="992"/>
      </w:tblGrid>
      <w:tr w:rsidR="00F26502" w:rsidRPr="00F26502" w:rsidTr="000B501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2650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F26502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F26502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в том</w:t>
            </w:r>
            <w:r w:rsidRPr="00F26502">
              <w:rPr>
                <w:sz w:val="16"/>
                <w:szCs w:val="16"/>
              </w:rPr>
              <w:t xml:space="preserve"> </w:t>
            </w:r>
            <w:r w:rsidRPr="00F26502">
              <w:rPr>
                <w:b/>
                <w:sz w:val="16"/>
                <w:szCs w:val="16"/>
              </w:rPr>
              <w:t>числе за счет безвозмездных поступлений</w:t>
            </w:r>
          </w:p>
        </w:tc>
      </w:tr>
      <w:tr w:rsidR="00F26502" w:rsidRPr="00F26502" w:rsidTr="000B501D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8 530,588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9 464,427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ind w:right="-108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101,580</w:t>
            </w: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proofErr w:type="spellStart"/>
            <w:r w:rsidRPr="00F26502">
              <w:rPr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proofErr w:type="spellStart"/>
            <w:r w:rsidRPr="00F26502">
              <w:rPr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F26502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F26502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ascii="Arial" w:hAnsi="Arial" w:cs="Arial"/>
                <w:sz w:val="16"/>
                <w:szCs w:val="16"/>
              </w:rPr>
            </w:pPr>
            <w:r w:rsidRPr="00F265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ascii="Arial" w:hAnsi="Arial" w:cs="Arial"/>
                <w:sz w:val="16"/>
                <w:szCs w:val="16"/>
              </w:rPr>
            </w:pPr>
            <w:r w:rsidRPr="00F265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ascii="Arial" w:hAnsi="Arial" w:cs="Arial"/>
                <w:sz w:val="16"/>
                <w:szCs w:val="16"/>
              </w:rPr>
            </w:pPr>
            <w:r w:rsidRPr="00F265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F26502">
              <w:rPr>
                <w:sz w:val="16"/>
                <w:szCs w:val="16"/>
              </w:rPr>
              <w:t>"Р</w:t>
            </w:r>
            <w:proofErr w:type="gramEnd"/>
            <w:r w:rsidRPr="00F26502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98, 250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101,580</w:t>
            </w: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26502" w:rsidRDefault="00F26502" w:rsidP="00F26502"/>
    <w:p w:rsidR="00F26502" w:rsidRDefault="00F26502" w:rsidP="00F26502"/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F26502" w:rsidRPr="00F26502" w:rsidTr="000B501D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Приложение №7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lastRenderedPageBreak/>
              <w:t>на 2022 год и плановый период 2023 и 2024 годов''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  <w:r w:rsidRPr="00F26502">
        <w:rPr>
          <w:sz w:val="16"/>
          <w:szCs w:val="16"/>
        </w:rPr>
        <w:t xml:space="preserve">           Распределение бюджетных ассигнований по разделам, подразделам</w:t>
      </w:r>
    </w:p>
    <w:p w:rsidR="00F26502" w:rsidRPr="00F26502" w:rsidRDefault="00F26502" w:rsidP="00F26502">
      <w:pPr>
        <w:rPr>
          <w:sz w:val="16"/>
          <w:szCs w:val="16"/>
        </w:rPr>
      </w:pPr>
      <w:r w:rsidRPr="00F26502">
        <w:rPr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</w: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4678"/>
        <w:gridCol w:w="1417"/>
        <w:gridCol w:w="1276"/>
        <w:gridCol w:w="1418"/>
        <w:gridCol w:w="992"/>
      </w:tblGrid>
      <w:tr w:rsidR="00F26502" w:rsidRPr="00F26502" w:rsidTr="000B501D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2650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F26502" w:rsidRPr="00F26502" w:rsidTr="000B501D">
        <w:trPr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F26502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F26502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F26502" w:rsidRPr="00F26502" w:rsidTr="000B501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2 900,198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2 902,784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769,604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1 675,990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235,801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190,661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26502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F2650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F26502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F26502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283,223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1 140,323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279,423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216,214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6502" w:rsidRPr="00F26502" w:rsidTr="000B501D">
        <w:trPr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8 746,802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101,580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436"/>
        <w:gridCol w:w="142"/>
        <w:gridCol w:w="698"/>
        <w:gridCol w:w="295"/>
      </w:tblGrid>
      <w:tr w:rsidR="00F26502" w:rsidRPr="00F26502" w:rsidTr="000B501D">
        <w:trPr>
          <w:gridBefore w:val="2"/>
          <w:wBefore w:w="284" w:type="dxa"/>
          <w:trHeight w:val="25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8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F26502" w:rsidRPr="00F26502" w:rsidTr="000B501D">
        <w:trPr>
          <w:gridAfter w:val="1"/>
          <w:wAfter w:w="295" w:type="dxa"/>
          <w:trHeight w:val="93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тыс</w:t>
            </w:r>
            <w:proofErr w:type="gramStart"/>
            <w:r w:rsidRPr="00F26502">
              <w:rPr>
                <w:sz w:val="16"/>
                <w:szCs w:val="16"/>
              </w:rPr>
              <w:t>.р</w:t>
            </w:r>
            <w:proofErr w:type="gramEnd"/>
            <w:r w:rsidRPr="00F26502">
              <w:rPr>
                <w:sz w:val="16"/>
                <w:szCs w:val="16"/>
              </w:rPr>
              <w:t>уб.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Код </w:t>
            </w:r>
            <w:r w:rsidRPr="00F26502">
              <w:rPr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 xml:space="preserve">Код группы, подгруппы статьи и </w:t>
            </w:r>
            <w:r w:rsidRPr="00F26502">
              <w:rPr>
                <w:sz w:val="16"/>
                <w:szCs w:val="16"/>
              </w:rPr>
              <w:lastRenderedPageBreak/>
              <w:t xml:space="preserve">вида </w:t>
            </w:r>
            <w:proofErr w:type="gramStart"/>
            <w:r w:rsidRPr="00F26502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 xml:space="preserve">Наименование кода группы, подгруппы, </w:t>
            </w:r>
            <w:r w:rsidRPr="00F26502">
              <w:rPr>
                <w:sz w:val="16"/>
                <w:szCs w:val="16"/>
              </w:rPr>
              <w:lastRenderedPageBreak/>
              <w:t>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lastRenderedPageBreak/>
              <w:t>сумма</w:t>
            </w:r>
          </w:p>
        </w:tc>
      </w:tr>
      <w:tr w:rsidR="00F26502" w:rsidRPr="00F26502" w:rsidTr="000B501D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2024 год</w:t>
            </w:r>
          </w:p>
        </w:tc>
      </w:tr>
      <w:tr w:rsidR="00F26502" w:rsidRPr="00F26502" w:rsidTr="000B501D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90 00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</w:t>
            </w:r>
            <w:proofErr w:type="spellStart"/>
            <w:r w:rsidRPr="00F26502">
              <w:rPr>
                <w:sz w:val="16"/>
                <w:szCs w:val="16"/>
              </w:rPr>
              <w:t>01</w:t>
            </w:r>
            <w:proofErr w:type="spellEnd"/>
            <w:r w:rsidRPr="00F26502">
              <w:rPr>
                <w:sz w:val="16"/>
                <w:szCs w:val="16"/>
              </w:rPr>
              <w:t xml:space="preserve">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</w:t>
            </w:r>
            <w:proofErr w:type="spellStart"/>
            <w:r w:rsidRPr="00F26502">
              <w:rPr>
                <w:sz w:val="16"/>
                <w:szCs w:val="16"/>
              </w:rPr>
              <w:t>01</w:t>
            </w:r>
            <w:proofErr w:type="spellEnd"/>
            <w:r w:rsidRPr="00F26502">
              <w:rPr>
                <w:sz w:val="16"/>
                <w:szCs w:val="16"/>
              </w:rPr>
              <w:t xml:space="preserve">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</w:t>
            </w:r>
            <w:proofErr w:type="spellStart"/>
            <w:r w:rsidRPr="00F26502">
              <w:rPr>
                <w:sz w:val="16"/>
                <w:szCs w:val="16"/>
              </w:rPr>
              <w:t>01</w:t>
            </w:r>
            <w:proofErr w:type="spellEnd"/>
            <w:r w:rsidRPr="00F26502">
              <w:rPr>
                <w:sz w:val="16"/>
                <w:szCs w:val="16"/>
              </w:rPr>
              <w:t xml:space="preserve">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</w:t>
            </w:r>
            <w:proofErr w:type="spellStart"/>
            <w:r w:rsidRPr="00F26502">
              <w:rPr>
                <w:sz w:val="16"/>
                <w:szCs w:val="16"/>
              </w:rPr>
              <w:t>01</w:t>
            </w:r>
            <w:proofErr w:type="spellEnd"/>
            <w:r w:rsidRPr="00F26502">
              <w:rPr>
                <w:sz w:val="16"/>
                <w:szCs w:val="16"/>
              </w:rPr>
              <w:t xml:space="preserve">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01 03 01 00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01 03 01 00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01 03 01 00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-10057,789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10057,789</w:t>
            </w:r>
          </w:p>
        </w:tc>
      </w:tr>
      <w:tr w:rsidR="00F26502" w:rsidRPr="00F26502" w:rsidTr="000B501D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650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2650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01 06 05 00 </w:t>
            </w:r>
            <w:proofErr w:type="spellStart"/>
            <w:r w:rsidRPr="00F26502">
              <w:rPr>
                <w:sz w:val="16"/>
                <w:szCs w:val="16"/>
              </w:rPr>
              <w:t>00</w:t>
            </w:r>
            <w:proofErr w:type="spellEnd"/>
            <w:r w:rsidRPr="00F26502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 xml:space="preserve">0,000  </w:t>
            </w:r>
          </w:p>
        </w:tc>
      </w:tr>
      <w:tr w:rsidR="00F26502" w:rsidRPr="00F26502" w:rsidTr="000B501D">
        <w:trPr>
          <w:gridBefore w:val="2"/>
          <w:wBefore w:w="284" w:type="dxa"/>
          <w:trHeight w:val="25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2"/>
          <w:wBefore w:w="284" w:type="dxa"/>
          <w:trHeight w:val="285"/>
        </w:trPr>
        <w:tc>
          <w:tcPr>
            <w:tcW w:w="10246" w:type="dxa"/>
            <w:gridSpan w:val="9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After w:val="3"/>
          <w:wAfter w:w="1135" w:type="dxa"/>
          <w:trHeight w:val="285"/>
        </w:trPr>
        <w:tc>
          <w:tcPr>
            <w:tcW w:w="9395" w:type="dxa"/>
            <w:gridSpan w:val="8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  <w:r w:rsidRPr="00F26502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26502">
        <w:rPr>
          <w:sz w:val="16"/>
          <w:szCs w:val="16"/>
        </w:rPr>
        <w:t>непрограммным</w:t>
      </w:r>
      <w:proofErr w:type="spellEnd"/>
      <w:r w:rsidRPr="00F26502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F26502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F26502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F26502" w:rsidRPr="00F26502" w:rsidTr="000B501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26502" w:rsidRPr="00F26502" w:rsidTr="000B501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2000000000</w:t>
            </w:r>
          </w:p>
          <w:p w:rsidR="00F26502" w:rsidRPr="00F26502" w:rsidRDefault="00F26502" w:rsidP="000B501D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10159,308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1157,070</w:t>
            </w:r>
          </w:p>
        </w:tc>
      </w:tr>
      <w:tr w:rsidR="00F26502" w:rsidRPr="00F26502" w:rsidTr="000B501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93,670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1063,400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1063,400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2 859,197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11274,265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1157,070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F26502" w:rsidRPr="00F26502" w:rsidTr="000B501D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F26502" w:rsidRPr="00F26502" w:rsidRDefault="00F26502" w:rsidP="000B501D">
            <w:pPr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F26502" w:rsidRPr="00F26502" w:rsidTr="000B501D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26502" w:rsidRPr="00F26502" w:rsidTr="000B501D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26502" w:rsidRPr="00F26502" w:rsidTr="000B501D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  <w:r w:rsidRPr="00F26502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F26502" w:rsidRPr="00F26502" w:rsidTr="000B501D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</w:tcPr>
          <w:p w:rsidR="00F26502" w:rsidRPr="00F26502" w:rsidRDefault="00F26502" w:rsidP="000B501D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  <w:r w:rsidRPr="00F26502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26502">
        <w:rPr>
          <w:sz w:val="16"/>
          <w:szCs w:val="16"/>
        </w:rPr>
        <w:t>непрограммным</w:t>
      </w:r>
      <w:proofErr w:type="spellEnd"/>
      <w:r w:rsidRPr="00F26502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F26502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F26502">
        <w:rPr>
          <w:sz w:val="16"/>
          <w:szCs w:val="16"/>
        </w:rPr>
        <w:t xml:space="preserve"> Борискино-Игар муниципального района Клявлинский Самарской области на плановый период 2023-2024 годов.</w:t>
      </w: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1418"/>
        <w:gridCol w:w="640"/>
        <w:gridCol w:w="1202"/>
        <w:gridCol w:w="851"/>
        <w:gridCol w:w="1276"/>
        <w:gridCol w:w="992"/>
      </w:tblGrid>
      <w:tr w:rsidR="00F26502" w:rsidRPr="00F26502" w:rsidTr="000B501D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26502" w:rsidRPr="00F26502" w:rsidTr="000B501D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26502" w:rsidRPr="00F26502" w:rsidTr="000B501D">
        <w:trPr>
          <w:trHeight w:val="103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26502" w:rsidRPr="00F26502" w:rsidTr="000B501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lastRenderedPageBreak/>
              <w:t>Муниципальная программа</w:t>
            </w:r>
            <w:proofErr w:type="gramStart"/>
            <w:r w:rsidRPr="00F26502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F26502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7 615,646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8 563,715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101,580</w:t>
            </w:r>
          </w:p>
        </w:tc>
      </w:tr>
      <w:tr w:rsidR="00F26502" w:rsidRPr="00F26502" w:rsidTr="000B501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2 935,321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2 937,664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1 478,626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1 481,956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100,080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1,500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2 974,883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3 058,221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2 974,883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3 058,221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sz w:val="16"/>
                <w:szCs w:val="16"/>
              </w:rPr>
            </w:pPr>
            <w:r w:rsidRPr="00F26502">
              <w:rPr>
                <w:b/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2650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26502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502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  <w:r w:rsidRPr="00F265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sz w:val="16"/>
                <w:szCs w:val="16"/>
              </w:rPr>
            </w:pPr>
            <w:r w:rsidRPr="00F26502">
              <w:rPr>
                <w:sz w:val="16"/>
                <w:szCs w:val="16"/>
              </w:rPr>
              <w:t>0,000</w:t>
            </w:r>
          </w:p>
        </w:tc>
      </w:tr>
      <w:tr w:rsidR="00F26502" w:rsidRPr="00F26502" w:rsidTr="000B50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502" w:rsidRPr="00F26502" w:rsidRDefault="00F26502" w:rsidP="000B50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2650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02" w:rsidRPr="00F26502" w:rsidRDefault="00F26502" w:rsidP="000B501D">
            <w:pPr>
              <w:jc w:val="right"/>
              <w:rPr>
                <w:b/>
                <w:bCs/>
                <w:sz w:val="16"/>
                <w:szCs w:val="16"/>
              </w:rPr>
            </w:pPr>
            <w:r w:rsidRPr="00F26502">
              <w:rPr>
                <w:b/>
                <w:bCs/>
                <w:sz w:val="16"/>
                <w:szCs w:val="16"/>
              </w:rPr>
              <w:t>101,580</w:t>
            </w:r>
          </w:p>
        </w:tc>
      </w:tr>
    </w:tbl>
    <w:p w:rsidR="00F26502" w:rsidRPr="00F26502" w:rsidRDefault="00F26502" w:rsidP="00F26502">
      <w:pPr>
        <w:rPr>
          <w:sz w:val="16"/>
          <w:szCs w:val="16"/>
        </w:rPr>
      </w:pPr>
    </w:p>
    <w:p w:rsidR="00F26502" w:rsidRPr="00F26502" w:rsidRDefault="00F26502" w:rsidP="00F26502">
      <w:pPr>
        <w:rPr>
          <w:sz w:val="16"/>
          <w:szCs w:val="16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F26502" w:rsidRPr="00F26502" w:rsidTr="000B501D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</w:p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</w:p>
          <w:p w:rsidR="00F26502" w:rsidRPr="00F26502" w:rsidRDefault="00F26502" w:rsidP="000B5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26502" w:rsidRPr="00F26502" w:rsidRDefault="00F26502" w:rsidP="000B50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26502" w:rsidRPr="00F26502" w:rsidRDefault="00F26502" w:rsidP="000B50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26502" w:rsidRPr="00F26502" w:rsidRDefault="00F26502" w:rsidP="000B50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26502" w:rsidRPr="00F26502" w:rsidRDefault="00F26502" w:rsidP="000B50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26502" w:rsidRDefault="00F26502" w:rsidP="00F26502"/>
    <w:p w:rsidR="00F26502" w:rsidRPr="00F26502" w:rsidRDefault="00F26502" w:rsidP="000D26B7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0D26B7">
              <w:rPr>
                <w:sz w:val="20"/>
                <w:szCs w:val="20"/>
                <w:lang w:eastAsia="en-US"/>
              </w:rPr>
              <w:t>4</w:t>
            </w:r>
            <w:r w:rsidR="002E5FAD">
              <w:rPr>
                <w:sz w:val="20"/>
                <w:szCs w:val="20"/>
                <w:lang w:eastAsia="en-US"/>
              </w:rPr>
              <w:t>(46</w:t>
            </w:r>
            <w:r w:rsidR="000D26B7">
              <w:rPr>
                <w:sz w:val="20"/>
                <w:szCs w:val="20"/>
                <w:lang w:eastAsia="en-US"/>
              </w:rPr>
              <w:t>8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0D26B7"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0D26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A5EA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A5EA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A5EA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A5EA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A5EA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A5EA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0D26B7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5310F0" w:rsidP="000D26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D26B7">
              <w:rPr>
                <w:sz w:val="20"/>
                <w:szCs w:val="20"/>
                <w:lang w:eastAsia="en-US"/>
              </w:rPr>
              <w:t>3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0D26B7">
              <w:rPr>
                <w:sz w:val="20"/>
                <w:szCs w:val="20"/>
                <w:lang w:eastAsia="en-US"/>
              </w:rPr>
              <w:t>06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4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60" w:rsidRDefault="00185260" w:rsidP="00C01EAB">
      <w:r>
        <w:separator/>
      </w:r>
    </w:p>
  </w:endnote>
  <w:endnote w:type="continuationSeparator" w:id="0">
    <w:p w:rsidR="00185260" w:rsidRDefault="00185260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5" w:rsidRDefault="00DA68A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60" w:rsidRDefault="00185260" w:rsidP="00C01EAB">
      <w:r>
        <w:separator/>
      </w:r>
    </w:p>
  </w:footnote>
  <w:footnote w:type="continuationSeparator" w:id="0">
    <w:p w:rsidR="00185260" w:rsidRDefault="00185260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3"/>
  </w:num>
  <w:num w:numId="13">
    <w:abstractNumId w:val="17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5"/>
  </w:num>
  <w:num w:numId="23">
    <w:abstractNumId w:val="9"/>
  </w:num>
  <w:num w:numId="24">
    <w:abstractNumId w:val="10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2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591F"/>
    <w:rsid w:val="00077E2C"/>
    <w:rsid w:val="000C2C16"/>
    <w:rsid w:val="000D1AFF"/>
    <w:rsid w:val="000D26B7"/>
    <w:rsid w:val="000D6B11"/>
    <w:rsid w:val="00104D56"/>
    <w:rsid w:val="0011396E"/>
    <w:rsid w:val="00115D4E"/>
    <w:rsid w:val="0011756F"/>
    <w:rsid w:val="00140EB5"/>
    <w:rsid w:val="00146BA9"/>
    <w:rsid w:val="001549BC"/>
    <w:rsid w:val="001638D9"/>
    <w:rsid w:val="00171394"/>
    <w:rsid w:val="00185260"/>
    <w:rsid w:val="001878E9"/>
    <w:rsid w:val="00187DB0"/>
    <w:rsid w:val="001D2C0D"/>
    <w:rsid w:val="0026155A"/>
    <w:rsid w:val="00261802"/>
    <w:rsid w:val="002675D3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57124"/>
    <w:rsid w:val="0037223D"/>
    <w:rsid w:val="003A7A25"/>
    <w:rsid w:val="003D30BB"/>
    <w:rsid w:val="00407375"/>
    <w:rsid w:val="00422491"/>
    <w:rsid w:val="00460B3F"/>
    <w:rsid w:val="0046278E"/>
    <w:rsid w:val="0047671A"/>
    <w:rsid w:val="004A3783"/>
    <w:rsid w:val="004A427F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671F0"/>
    <w:rsid w:val="006C0A2E"/>
    <w:rsid w:val="006C26FA"/>
    <w:rsid w:val="006C54D9"/>
    <w:rsid w:val="00706C78"/>
    <w:rsid w:val="00735C08"/>
    <w:rsid w:val="0074685C"/>
    <w:rsid w:val="007546DF"/>
    <w:rsid w:val="00755F25"/>
    <w:rsid w:val="00761288"/>
    <w:rsid w:val="0077251E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0E93"/>
    <w:rsid w:val="00891A70"/>
    <w:rsid w:val="00895B4C"/>
    <w:rsid w:val="008973ED"/>
    <w:rsid w:val="008A068C"/>
    <w:rsid w:val="008B4F1D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14630"/>
    <w:rsid w:val="00A279C5"/>
    <w:rsid w:val="00A311EF"/>
    <w:rsid w:val="00A65A87"/>
    <w:rsid w:val="00AB7282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8587A"/>
    <w:rsid w:val="00CA07CC"/>
    <w:rsid w:val="00CC3937"/>
    <w:rsid w:val="00CD63E2"/>
    <w:rsid w:val="00D13C69"/>
    <w:rsid w:val="00D27EBD"/>
    <w:rsid w:val="00D61F6D"/>
    <w:rsid w:val="00D82F3C"/>
    <w:rsid w:val="00D85CEC"/>
    <w:rsid w:val="00DA5A74"/>
    <w:rsid w:val="00DA5EAF"/>
    <w:rsid w:val="00DA68A5"/>
    <w:rsid w:val="00DA79A6"/>
    <w:rsid w:val="00DC779D"/>
    <w:rsid w:val="00DD0860"/>
    <w:rsid w:val="00DF10DC"/>
    <w:rsid w:val="00E10EB5"/>
    <w:rsid w:val="00E33092"/>
    <w:rsid w:val="00E427C6"/>
    <w:rsid w:val="00E718F7"/>
    <w:rsid w:val="00E849DE"/>
    <w:rsid w:val="00EC33F8"/>
    <w:rsid w:val="00EE33C8"/>
    <w:rsid w:val="00EE762F"/>
    <w:rsid w:val="00EF3BD8"/>
    <w:rsid w:val="00EF73B5"/>
    <w:rsid w:val="00F12C05"/>
    <w:rsid w:val="00F14B94"/>
    <w:rsid w:val="00F26502"/>
    <w:rsid w:val="00F31B55"/>
    <w:rsid w:val="00F52191"/>
    <w:rsid w:val="00F60A59"/>
    <w:rsid w:val="00F65AA4"/>
    <w:rsid w:val="00F670B0"/>
    <w:rsid w:val="00F70C32"/>
    <w:rsid w:val="00FB69AD"/>
    <w:rsid w:val="00FC608C"/>
    <w:rsid w:val="00FD5F01"/>
    <w:rsid w:val="00FD6A6A"/>
    <w:rsid w:val="00FD6FFA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E1197-9834-4DEC-818A-E6630A7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9975</Words>
  <Characters>56863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2022-03-14T09:27:00Z</cp:lastPrinted>
  <dcterms:created xsi:type="dcterms:W3CDTF">2022-06-02T11:30:00Z</dcterms:created>
  <dcterms:modified xsi:type="dcterms:W3CDTF">2022-06-28T11:28:00Z</dcterms:modified>
</cp:coreProperties>
</file>