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416202" w:rsidRDefault="00416202" w:rsidP="00416202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416202" w:rsidRDefault="00416202" w:rsidP="00C444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30.12.2020 г. №165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1D3AB1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муниципального района </w:t>
      </w:r>
      <w:proofErr w:type="spellStart"/>
      <w:r w:rsidR="001D3AB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0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2021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18293D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и муниципальным служащим администрации 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0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416202" w:rsidRDefault="00416202" w:rsidP="001E71D0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416202" w:rsidRDefault="00416202" w:rsidP="001E71D0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16202" w:rsidTr="00416202">
        <w:tc>
          <w:tcPr>
            <w:tcW w:w="6807" w:type="dxa"/>
            <w:hideMark/>
          </w:tcPr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</w:t>
            </w:r>
          </w:p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И.Н. Соловьев </w:t>
            </w:r>
          </w:p>
        </w:tc>
      </w:tr>
      <w:tr w:rsidR="00416202" w:rsidTr="00416202">
        <w:tc>
          <w:tcPr>
            <w:tcW w:w="6807" w:type="dxa"/>
          </w:tcPr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202" w:rsidRDefault="00416202" w:rsidP="00416202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9C" w:rsidRDefault="003D049C" w:rsidP="00416202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Князева Г.В.</w:t>
      </w:r>
    </w:p>
    <w:p w:rsidR="003D049C" w:rsidRDefault="003D049C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2020 г. N 16</w:t>
      </w:r>
      <w:r w:rsidR="00630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2021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A93403">
            <w:pPr>
              <w:pStyle w:val="2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2Exact2"/>
                <w:color w:val="000000"/>
              </w:rPr>
              <w:t>Количество нарушений антимонопольного законодательства со стороны администрации, единиц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Default="0039168F" w:rsidP="00D25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Доля принятых нормативных правовых актов администрации, в которых риски нарушения</w:t>
            </w:r>
            <w:r w:rsidRPr="009736F3">
              <w:rPr>
                <w:rStyle w:val="2Exact2"/>
                <w:color w:val="000000"/>
              </w:rPr>
              <w:tab/>
              <w:t>антимонопольного</w:t>
            </w:r>
          </w:p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законодательства</w:t>
            </w:r>
            <w:r w:rsidRPr="009736F3">
              <w:rPr>
                <w:rStyle w:val="2Exact2"/>
                <w:color w:val="000000"/>
              </w:rPr>
              <w:tab/>
              <w:t>выявлены</w:t>
            </w:r>
          </w:p>
          <w:p w:rsidR="00D47E76" w:rsidRDefault="009736F3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lastRenderedPageBreak/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9736F3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9736F3" w:rsidRDefault="009736F3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в 202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5C0461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5C0461">
              <w:rPr>
                <w:rStyle w:val="2Exact2"/>
                <w:color w:val="000000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>
              <w:rPr>
                <w:rStyle w:val="2Exact2"/>
                <w:color w:val="000000"/>
              </w:rPr>
              <w:t xml:space="preserve"> </w:t>
            </w:r>
            <w:r w:rsidR="00B35360">
              <w:rPr>
                <w:rStyle w:val="23"/>
                <w:color w:val="000000"/>
              </w:rPr>
              <w:t xml:space="preserve">которых риски нарушения антимонопольного законодательства выявлены </w:t>
            </w:r>
            <w:r w:rsidR="00F46E6A">
              <w:rPr>
                <w:rStyle w:val="23"/>
                <w:color w:val="000000"/>
              </w:rPr>
              <w:t xml:space="preserve">юридическим отделом </w:t>
            </w:r>
            <w:r w:rsidR="00B35360">
              <w:rPr>
                <w:rStyle w:val="23"/>
                <w:color w:val="000000"/>
              </w:rPr>
              <w:t>администрации,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78313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5C0461" w:rsidRDefault="005C0461" w:rsidP="009C4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>
              <w:rPr>
                <w:rStyle w:val="23"/>
                <w:color w:val="000000"/>
              </w:rPr>
              <w:t>риски нарушения антимонопольного законодательства выявлены юридическим отделом администрации, к общему количеству проектов</w:t>
            </w:r>
            <w:r w:rsidR="009C48FC">
              <w:rPr>
                <w:rStyle w:val="23"/>
                <w:color w:val="000000"/>
              </w:rPr>
              <w:t xml:space="preserve"> нормативных правовых актов администрации, разработанных администрацией в 2021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B06667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B06667">
              <w:rPr>
                <w:rStyle w:val="2Exact2"/>
                <w:color w:val="000000"/>
              </w:rPr>
              <w:t xml:space="preserve">Доля </w:t>
            </w:r>
            <w:r>
              <w:rPr>
                <w:rStyle w:val="2Exact2"/>
                <w:color w:val="000000"/>
              </w:rPr>
              <w:t xml:space="preserve">принятых </w:t>
            </w:r>
            <w:r w:rsidRPr="00B06667">
              <w:rPr>
                <w:rStyle w:val="2Exact2"/>
                <w:color w:val="000000"/>
              </w:rPr>
              <w:t>нормативных правовых актов</w:t>
            </w:r>
            <w:r>
              <w:rPr>
                <w:rStyle w:val="2Exact2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Style w:val="2Exact2"/>
                <w:color w:val="000000"/>
              </w:rPr>
              <w:t>Клявлинский</w:t>
            </w:r>
            <w:proofErr w:type="spellEnd"/>
            <w:r>
              <w:rPr>
                <w:rStyle w:val="2Exact2"/>
                <w:color w:val="000000"/>
              </w:rPr>
              <w:t xml:space="preserve"> Самарской области</w:t>
            </w:r>
            <w:r w:rsidRPr="00B06667">
              <w:rPr>
                <w:rStyle w:val="2Exact2"/>
                <w:color w:val="000000"/>
              </w:rPr>
              <w:t>, разработ</w:t>
            </w:r>
            <w:r>
              <w:rPr>
                <w:rStyle w:val="2Exact2"/>
                <w:color w:val="000000"/>
              </w:rPr>
              <w:t xml:space="preserve">чиком </w:t>
            </w:r>
            <w:r w:rsidRPr="00B06667">
              <w:rPr>
                <w:rStyle w:val="2Exact2"/>
                <w:color w:val="000000"/>
              </w:rPr>
              <w:t xml:space="preserve">которых </w:t>
            </w:r>
            <w:r w:rsidR="00793068">
              <w:rPr>
                <w:rStyle w:val="2Exact2"/>
                <w:color w:val="000000"/>
              </w:rPr>
              <w:t xml:space="preserve">выступала администрация, в которых </w:t>
            </w:r>
            <w:r w:rsidRPr="00B06667">
              <w:rPr>
                <w:rStyle w:val="2Exact2"/>
                <w:color w:val="000000"/>
              </w:rPr>
              <w:t xml:space="preserve">риски нарушения антимонопольного законодательства выявлены </w:t>
            </w:r>
            <w:r w:rsidR="00793068">
              <w:rPr>
                <w:rStyle w:val="2Exact2"/>
                <w:color w:val="000000"/>
              </w:rPr>
              <w:t>антимонопольным органом</w:t>
            </w:r>
            <w:r w:rsidRPr="00B06667">
              <w:rPr>
                <w:rStyle w:val="2Exact2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Default="0079306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793068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DF7F19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2021 году,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F46E6A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разработчиком которых выступила 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06667" w:rsidRDefault="00F46E6A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>
              <w:rPr>
                <w:rStyle w:val="2Exact2"/>
                <w:color w:val="000000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Exact2"/>
                <w:color w:val="000000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Default="00F46E6A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793068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</w:t>
            </w:r>
            <w:r w:rsidRPr="00F46E6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46E6A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jc w:val="right"/>
        <w:rPr>
          <w:rStyle w:val="3"/>
          <w:rFonts w:eastAsiaTheme="minorHAnsi"/>
        </w:rPr>
      </w:pPr>
      <w:r>
        <w:rPr>
          <w:rStyle w:val="3"/>
          <w:rFonts w:eastAsiaTheme="minorHAnsi"/>
        </w:rPr>
        <w:t>Утвержден</w:t>
      </w:r>
    </w:p>
    <w:p w:rsidR="00F56467" w:rsidRDefault="00F56467" w:rsidP="00F56467">
      <w:pPr>
        <w:jc w:val="right"/>
        <w:rPr>
          <w:rStyle w:val="3"/>
          <w:rFonts w:eastAsiaTheme="minorHAnsi"/>
        </w:rPr>
      </w:pPr>
      <w:r>
        <w:rPr>
          <w:rStyle w:val="3"/>
          <w:rFonts w:eastAsiaTheme="minorHAnsi"/>
        </w:rPr>
        <w:t xml:space="preserve"> распоряжением администрации </w:t>
      </w:r>
    </w:p>
    <w:p w:rsidR="00F56467" w:rsidRDefault="00F56467" w:rsidP="00F56467">
      <w:pPr>
        <w:jc w:val="right"/>
        <w:rPr>
          <w:rStyle w:val="3"/>
          <w:rFonts w:eastAsiaTheme="minorHAnsi"/>
        </w:rPr>
      </w:pPr>
      <w:r>
        <w:rPr>
          <w:rStyle w:val="3"/>
          <w:rFonts w:eastAsiaTheme="minorHAnsi"/>
        </w:rPr>
        <w:t xml:space="preserve">муниципального района </w:t>
      </w:r>
      <w:proofErr w:type="spellStart"/>
      <w:r>
        <w:rPr>
          <w:rStyle w:val="3"/>
          <w:rFonts w:eastAsiaTheme="minorHAnsi"/>
        </w:rPr>
        <w:t>Клявлинский</w:t>
      </w:r>
      <w:proofErr w:type="spellEnd"/>
      <w:r>
        <w:rPr>
          <w:rStyle w:val="3"/>
          <w:rFonts w:eastAsiaTheme="minorHAnsi"/>
        </w:rPr>
        <w:t xml:space="preserve"> </w:t>
      </w:r>
    </w:p>
    <w:p w:rsidR="00F56467" w:rsidRDefault="00F56467" w:rsidP="00F56467">
      <w:pPr>
        <w:jc w:val="right"/>
      </w:pPr>
      <w:r>
        <w:rPr>
          <w:rStyle w:val="3"/>
          <w:rFonts w:eastAsiaTheme="minorHAnsi"/>
        </w:rPr>
        <w:t>№165 от 30.12.2020 г.</w:t>
      </w:r>
    </w:p>
    <w:p w:rsidR="00F56467" w:rsidRDefault="00F56467" w:rsidP="00F56467">
      <w:pPr>
        <w:ind w:left="20"/>
        <w:rPr>
          <w:rStyle w:val="20"/>
          <w:b/>
          <w:bCs/>
        </w:rPr>
      </w:pPr>
    </w:p>
    <w:p w:rsidR="00F56467" w:rsidRDefault="00F56467" w:rsidP="00F56467">
      <w:pPr>
        <w:ind w:left="20"/>
      </w:pPr>
      <w:r>
        <w:rPr>
          <w:rStyle w:val="20"/>
          <w:b/>
          <w:bCs/>
        </w:rPr>
        <w:t>Перечень ключевых показателей эффективности функционирования в Администрации муниципального района</w:t>
      </w:r>
      <w:r>
        <w:rPr>
          <w:rStyle w:val="20"/>
          <w:b/>
          <w:bCs/>
        </w:rPr>
        <w:br/>
      </w:r>
      <w:proofErr w:type="spellStart"/>
      <w:r>
        <w:rPr>
          <w:rStyle w:val="20"/>
          <w:b/>
          <w:bCs/>
        </w:rPr>
        <w:t>Клявлинский</w:t>
      </w:r>
      <w:proofErr w:type="spellEnd"/>
      <w:r>
        <w:rPr>
          <w:rStyle w:val="20"/>
          <w:b/>
          <w:bCs/>
        </w:rPr>
        <w:t xml:space="preserve"> Самарской области антимонопольного законодательства на 2021 год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7"/>
        <w:gridCol w:w="1444"/>
        <w:gridCol w:w="8011"/>
      </w:tblGrid>
      <w:tr w:rsidR="00F56467" w:rsidTr="003236AA">
        <w:trPr>
          <w:trHeight w:hRule="exact" w:val="1536"/>
          <w:jc w:val="center"/>
        </w:trPr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spacing w:after="120" w:line="240" w:lineRule="exact"/>
            </w:pPr>
            <w:r>
              <w:rPr>
                <w:rStyle w:val="212pt"/>
                <w:rFonts w:eastAsiaTheme="minorHAnsi"/>
              </w:rPr>
              <w:lastRenderedPageBreak/>
              <w:t>Наименование</w:t>
            </w:r>
          </w:p>
          <w:p w:rsidR="00F56467" w:rsidRDefault="00F56467" w:rsidP="003236AA">
            <w:pPr>
              <w:framePr w:w="15182" w:wrap="notBeside" w:vAnchor="text" w:hAnchor="text" w:xAlign="center" w:y="1"/>
              <w:spacing w:before="120" w:line="240" w:lineRule="exact"/>
            </w:pPr>
            <w:r>
              <w:rPr>
                <w:rStyle w:val="212pt"/>
                <w:rFonts w:eastAsiaTheme="minorHAnsi"/>
              </w:rPr>
              <w:t>показателя</w:t>
            </w:r>
          </w:p>
        </w:tc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Theme="minorHAnsi"/>
              </w:rPr>
              <w:t>Целевое значение на 2021 год</w:t>
            </w:r>
          </w:p>
        </w:tc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Theme="minorHAnsi"/>
              </w:rPr>
              <w:t>Методика расчета</w:t>
            </w:r>
          </w:p>
        </w:tc>
      </w:tr>
      <w:tr w:rsidR="00F56467" w:rsidTr="003236AA">
        <w:trPr>
          <w:trHeight w:hRule="exact" w:val="3490"/>
          <w:jc w:val="center"/>
        </w:trPr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spacing w:line="298" w:lineRule="exact"/>
              <w:ind w:left="140"/>
            </w:pPr>
            <w:r>
              <w:rPr>
                <w:rStyle w:val="212pt"/>
                <w:rFonts w:eastAsiaTheme="minorHAnsi"/>
              </w:rPr>
              <w:t>Количество нарушений антимонопольного законодательства со стороны администрации, единиц</w:t>
            </w:r>
          </w:p>
        </w:tc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Theme="minorHAns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F56467" w:rsidRDefault="00F56467" w:rsidP="003236AA">
            <w:pPr>
              <w:framePr w:w="15182" w:wrap="notBeside" w:vAnchor="text" w:hAnchor="text" w:xAlign="center" w:y="1"/>
              <w:spacing w:line="298" w:lineRule="exact"/>
              <w:jc w:val="both"/>
            </w:pPr>
            <w:r>
              <w:rPr>
                <w:rStyle w:val="212pt"/>
                <w:rFonts w:eastAsiaTheme="minorHAnsi"/>
              </w:rPr>
              <w:t>Рассчитывается как сумма:</w:t>
            </w:r>
          </w:p>
          <w:p w:rsidR="00F56467" w:rsidRDefault="00F56467" w:rsidP="00F56467">
            <w:pPr>
              <w:framePr w:w="15182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spacing w:line="298" w:lineRule="exact"/>
              <w:jc w:val="both"/>
            </w:pPr>
            <w:r>
              <w:rPr>
                <w:rStyle w:val="212pt"/>
                <w:rFonts w:eastAsiaTheme="minorHAnsi"/>
              </w:rPr>
              <w:t>количество возбужденных антимонопольным органом в отношении администрации антимонопольных дел;</w:t>
            </w:r>
          </w:p>
          <w:p w:rsidR="00F56467" w:rsidRDefault="00F56467" w:rsidP="00F56467">
            <w:pPr>
              <w:framePr w:w="15182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spacing w:line="298" w:lineRule="exact"/>
              <w:jc w:val="both"/>
            </w:pPr>
            <w:r>
              <w:rPr>
                <w:rStyle w:val="212pt"/>
                <w:rFonts w:eastAsiaTheme="minorHAnsi"/>
              </w:rPr>
              <w:t>количества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F56467" w:rsidRDefault="00F56467" w:rsidP="00F56467">
            <w:pPr>
              <w:framePr w:w="15182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691"/>
              </w:tabs>
              <w:spacing w:line="298" w:lineRule="exact"/>
              <w:jc w:val="both"/>
            </w:pPr>
            <w:r>
              <w:rPr>
                <w:rStyle w:val="212pt"/>
                <w:rFonts w:eastAsiaTheme="minorHAnsi"/>
              </w:rPr>
              <w:t>количества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F56467" w:rsidTr="003236AA">
        <w:trPr>
          <w:trHeight w:hRule="exact" w:val="110"/>
          <w:jc w:val="center"/>
        </w:trPr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F56467" w:rsidRDefault="00F56467" w:rsidP="003236AA">
            <w:pPr>
              <w:framePr w:w="15182" w:wrap="notBeside" w:vAnchor="text" w:hAnchor="text" w:xAlign="center" w:y="1"/>
            </w:pPr>
          </w:p>
        </w:tc>
      </w:tr>
      <w:tr w:rsidR="00F56467" w:rsidTr="003236AA">
        <w:trPr>
          <w:trHeight w:hRule="exact" w:val="1512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F56467" w:rsidRDefault="00F56467" w:rsidP="003236AA">
            <w:pPr>
              <w:framePr w:w="15182" w:wrap="notBeside" w:vAnchor="text" w:hAnchor="text" w:xAlign="center" w:y="1"/>
              <w:jc w:val="both"/>
            </w:pPr>
            <w:r>
              <w:rPr>
                <w:rStyle w:val="212pt"/>
                <w:rFonts w:eastAsiaTheme="minorHAnsi"/>
              </w:rPr>
              <w:t>Доля принятых нормативных правовых актов администрации, в которых риски 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</w:pPr>
            <w:r>
              <w:rPr>
                <w:rStyle w:val="212pt"/>
                <w:rFonts w:eastAsiaTheme="minorHAnsi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56467" w:rsidRDefault="00F56467" w:rsidP="003236AA">
            <w:pPr>
              <w:framePr w:w="15182" w:wrap="notBeside" w:vAnchor="text" w:hAnchor="text" w:xAlign="center" w:y="1"/>
            </w:pPr>
            <w:r>
              <w:rPr>
                <w:rStyle w:val="212pt"/>
                <w:rFonts w:eastAsiaTheme="minorHAnsi"/>
              </w:rPr>
              <w:t>Рассчитывается как отношение количества нормативных правовых актов администрации, принятых в 2021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администрации, принятых в 2021 году</w:t>
            </w:r>
          </w:p>
        </w:tc>
      </w:tr>
      <w:tr w:rsidR="00F56467" w:rsidTr="003236AA">
        <w:trPr>
          <w:trHeight w:hRule="exact" w:val="643"/>
          <w:jc w:val="center"/>
        </w:trPr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ind w:left="140"/>
            </w:pPr>
            <w:r>
              <w:rPr>
                <w:rStyle w:val="212pt"/>
                <w:rFonts w:eastAsiaTheme="minorHAnsi"/>
              </w:rPr>
              <w:t xml:space="preserve">Доля разработанных администрацией проектов нормативных правовых актов, </w:t>
            </w:r>
            <w:proofErr w:type="gramStart"/>
            <w:r>
              <w:rPr>
                <w:rStyle w:val="212pt"/>
                <w:rFonts w:eastAsiaTheme="minorHAnsi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F56467" w:rsidRDefault="00F56467" w:rsidP="003236AA">
            <w:pPr>
              <w:framePr w:w="15182" w:wrap="notBeside" w:vAnchor="text" w:hAnchor="text" w:xAlign="center" w:y="1"/>
            </w:pPr>
            <w:r>
              <w:rPr>
                <w:rStyle w:val="212pt"/>
                <w:rFonts w:eastAsiaTheme="minorHAnsi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F56467" w:rsidRDefault="00F56467" w:rsidP="003236AA">
            <w:pPr>
              <w:framePr w:w="15182" w:wrap="notBeside" w:vAnchor="text" w:hAnchor="text" w:xAlign="center" w:y="1"/>
              <w:jc w:val="both"/>
            </w:pPr>
            <w:r>
              <w:rPr>
                <w:rStyle w:val="212pt"/>
                <w:rFonts w:eastAsiaTheme="minorHAnsi"/>
              </w:rPr>
              <w:t>Рассчитывается как отношение количества разработанных администрацией в 2021 году проектов нормативных правовых актов, в которых риски</w:t>
            </w:r>
          </w:p>
        </w:tc>
      </w:tr>
    </w:tbl>
    <w:p w:rsidR="00F56467" w:rsidRDefault="00F56467" w:rsidP="00F56467">
      <w:pPr>
        <w:framePr w:w="15182" w:wrap="notBeside" w:vAnchor="text" w:hAnchor="text" w:xAlign="center" w:y="1"/>
        <w:rPr>
          <w:sz w:val="2"/>
          <w:szCs w:val="2"/>
        </w:rPr>
      </w:pPr>
    </w:p>
    <w:p w:rsidR="00F56467" w:rsidRDefault="00F56467" w:rsidP="00F56467">
      <w:pPr>
        <w:rPr>
          <w:sz w:val="2"/>
          <w:szCs w:val="2"/>
        </w:rPr>
      </w:pPr>
    </w:p>
    <w:tbl>
      <w:tblPr>
        <w:tblOverlap w:val="never"/>
        <w:tblW w:w="1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0"/>
        <w:gridCol w:w="1417"/>
        <w:gridCol w:w="8312"/>
      </w:tblGrid>
      <w:tr w:rsidR="00F56467" w:rsidTr="003236AA">
        <w:trPr>
          <w:trHeight w:hRule="exact" w:val="1224"/>
          <w:jc w:val="center"/>
        </w:trPr>
        <w:tc>
          <w:tcPr>
            <w:tcW w:w="5590" w:type="dxa"/>
            <w:shd w:val="clear" w:color="auto" w:fill="FFFFFF"/>
            <w:vAlign w:val="bottom"/>
          </w:tcPr>
          <w:p w:rsidR="00F56467" w:rsidRDefault="00F56467" w:rsidP="003236AA">
            <w:pPr>
              <w:framePr w:w="15197" w:wrap="notBeside" w:vAnchor="text" w:hAnchor="text" w:xAlign="center" w:y="1"/>
              <w:jc w:val="both"/>
            </w:pPr>
            <w:r>
              <w:rPr>
                <w:rStyle w:val="212pt"/>
                <w:rFonts w:eastAsiaTheme="minorHAnsi"/>
              </w:rPr>
              <w:lastRenderedPageBreak/>
              <w:t>которых риски нарушения антимонопольного законодательства выявлены правовым управлением администрации, процентов</w:t>
            </w:r>
          </w:p>
        </w:tc>
        <w:tc>
          <w:tcPr>
            <w:tcW w:w="1417" w:type="dxa"/>
            <w:shd w:val="clear" w:color="auto" w:fill="FFFFFF"/>
          </w:tcPr>
          <w:p w:rsidR="00F56467" w:rsidRDefault="00F56467" w:rsidP="003236AA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2" w:type="dxa"/>
            <w:shd w:val="clear" w:color="auto" w:fill="FFFFFF"/>
            <w:vAlign w:val="bottom"/>
          </w:tcPr>
          <w:p w:rsidR="00F56467" w:rsidRDefault="00F56467" w:rsidP="003236AA">
            <w:pPr>
              <w:framePr w:w="15197" w:wrap="notBeside" w:vAnchor="text" w:hAnchor="text" w:xAlign="center" w:y="1"/>
              <w:jc w:val="both"/>
            </w:pPr>
            <w:r>
              <w:rPr>
                <w:rStyle w:val="212pt"/>
                <w:rFonts w:eastAsiaTheme="minorHAnsi"/>
              </w:rPr>
              <w:t>нарушения антимонопольного законодательства выявлены правовым    управлением администрации, к общему количеству проектов нормативных правовых актов администрации, разработанных администрацией в 2021 году</w:t>
            </w:r>
          </w:p>
        </w:tc>
      </w:tr>
      <w:tr w:rsidR="00F56467" w:rsidTr="003236AA">
        <w:trPr>
          <w:trHeight w:hRule="exact" w:val="2405"/>
          <w:jc w:val="center"/>
        </w:trPr>
        <w:tc>
          <w:tcPr>
            <w:tcW w:w="5590" w:type="dxa"/>
            <w:shd w:val="clear" w:color="auto" w:fill="FFFFFF"/>
            <w:vAlign w:val="bottom"/>
          </w:tcPr>
          <w:p w:rsidR="00F56467" w:rsidRDefault="00F56467" w:rsidP="003236AA">
            <w:pPr>
              <w:framePr w:w="15197" w:wrap="notBeside" w:vAnchor="text" w:hAnchor="text" w:xAlign="center" w:y="1"/>
              <w:jc w:val="both"/>
            </w:pPr>
            <w:r>
              <w:rPr>
                <w:rStyle w:val="212pt"/>
                <w:rFonts w:eastAsiaTheme="minorHAnsi"/>
              </w:rPr>
              <w:t>Доля принятых нормативных правовых актов муниципального района Сергиевский Самарской области, разработчиком которых выступала администрация, в которых риски 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1417" w:type="dxa"/>
            <w:shd w:val="clear" w:color="auto" w:fill="FFFFFF"/>
          </w:tcPr>
          <w:p w:rsidR="00F56467" w:rsidRDefault="00F56467" w:rsidP="003236AA">
            <w:pPr>
              <w:framePr w:w="15197" w:wrap="notBeside" w:vAnchor="text" w:hAnchor="text" w:xAlign="center" w:y="1"/>
            </w:pPr>
            <w:r>
              <w:rPr>
                <w:rStyle w:val="212pt"/>
                <w:rFonts w:eastAsiaTheme="minorHAnsi"/>
              </w:rPr>
              <w:t>0</w:t>
            </w:r>
          </w:p>
        </w:tc>
        <w:tc>
          <w:tcPr>
            <w:tcW w:w="8312" w:type="dxa"/>
            <w:shd w:val="clear" w:color="auto" w:fill="FFFFFF"/>
          </w:tcPr>
          <w:p w:rsidR="00F56467" w:rsidRDefault="00F56467" w:rsidP="003236AA">
            <w:pPr>
              <w:framePr w:w="15197" w:wrap="notBeside" w:vAnchor="text" w:hAnchor="text" w:xAlign="center" w:y="1"/>
              <w:jc w:val="both"/>
            </w:pPr>
            <w:proofErr w:type="gramStart"/>
            <w:r>
              <w:rPr>
                <w:rStyle w:val="212pt"/>
                <w:rFonts w:eastAsiaTheme="minorHAnsi"/>
              </w:rPr>
              <w:t>Рассчитывается как отношение количества нормативных правовых актов, принятых в муниципальном районе Сергиевский Самарской области в 2021 году, разработчиком которых выступала администрация, в которых риски нарушения антимонопольного законодательства выявлены антимонопольным органом, к общему количеству нормативных правовых актов, принятых в муниципальном районе Сергиевский Самарской области, разработчиком которых выступала администрация</w:t>
            </w:r>
            <w:proofErr w:type="gramEnd"/>
          </w:p>
        </w:tc>
      </w:tr>
      <w:tr w:rsidR="00F56467" w:rsidTr="003236AA">
        <w:trPr>
          <w:trHeight w:hRule="exact" w:val="1536"/>
          <w:jc w:val="center"/>
        </w:trPr>
        <w:tc>
          <w:tcPr>
            <w:tcW w:w="5590" w:type="dxa"/>
            <w:shd w:val="clear" w:color="auto" w:fill="FFFFFF"/>
            <w:vAlign w:val="bottom"/>
          </w:tcPr>
          <w:p w:rsidR="00F56467" w:rsidRDefault="00F56467" w:rsidP="003236AA">
            <w:pPr>
              <w:framePr w:w="15197" w:wrap="notBeside" w:vAnchor="text" w:hAnchor="text" w:xAlign="center" w:y="1"/>
              <w:jc w:val="both"/>
            </w:pPr>
            <w:r>
              <w:rPr>
                <w:rStyle w:val="212pt"/>
                <w:rFonts w:eastAsiaTheme="minorHAnsi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12pt"/>
                <w:rFonts w:eastAsiaTheme="minorHAnsi"/>
              </w:rPr>
              <w:t>комплаенсу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56467" w:rsidRDefault="00F56467" w:rsidP="003236AA">
            <w:pPr>
              <w:framePr w:w="15197" w:wrap="notBeside" w:vAnchor="text" w:hAnchor="text" w:xAlign="center" w:y="1"/>
            </w:pPr>
            <w:r>
              <w:rPr>
                <w:rStyle w:val="212pt"/>
                <w:rFonts w:eastAsiaTheme="minorHAnsi"/>
              </w:rPr>
              <w:t>100%</w:t>
            </w:r>
          </w:p>
        </w:tc>
        <w:tc>
          <w:tcPr>
            <w:tcW w:w="8312" w:type="dxa"/>
            <w:shd w:val="clear" w:color="auto" w:fill="FFFFFF"/>
          </w:tcPr>
          <w:p w:rsidR="00F56467" w:rsidRDefault="00F56467" w:rsidP="003236AA">
            <w:pPr>
              <w:framePr w:w="15197" w:wrap="notBeside" w:vAnchor="text" w:hAnchor="text" w:xAlign="center" w:y="1"/>
              <w:jc w:val="both"/>
            </w:pPr>
            <w:r>
              <w:rPr>
                <w:rStyle w:val="212pt"/>
                <w:rFonts w:eastAsiaTheme="minorHAnsi"/>
              </w:rPr>
              <w:t xml:space="preserve">Рассчитывается как отношение количества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12pt"/>
                <w:rFonts w:eastAsiaTheme="minorHAnsi"/>
              </w:rPr>
              <w:t>комплаенсу</w:t>
            </w:r>
            <w:proofErr w:type="spellEnd"/>
            <w:r>
              <w:rPr>
                <w:rStyle w:val="212pt"/>
                <w:rFonts w:eastAsiaTheme="minorHAnsi"/>
              </w:rPr>
              <w:t>, к общему количеству сотрудников администрации</w:t>
            </w:r>
          </w:p>
        </w:tc>
      </w:tr>
    </w:tbl>
    <w:p w:rsidR="00F56467" w:rsidRDefault="00F56467" w:rsidP="00F56467">
      <w:pPr>
        <w:framePr w:w="15197" w:wrap="notBeside" w:vAnchor="text" w:hAnchor="text" w:xAlign="center" w:y="1"/>
        <w:rPr>
          <w:sz w:val="2"/>
          <w:szCs w:val="2"/>
        </w:rPr>
      </w:pPr>
    </w:p>
    <w:p w:rsidR="00F56467" w:rsidRDefault="00F56467" w:rsidP="00F56467">
      <w:pPr>
        <w:rPr>
          <w:sz w:val="2"/>
          <w:szCs w:val="2"/>
        </w:rPr>
      </w:pPr>
    </w:p>
    <w:p w:rsidR="00F56467" w:rsidRDefault="00F56467" w:rsidP="00F56467">
      <w:pPr>
        <w:rPr>
          <w:sz w:val="2"/>
          <w:szCs w:val="2"/>
        </w:rPr>
      </w:pPr>
    </w:p>
    <w:p w:rsidR="00F56467" w:rsidRDefault="00F56467"/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8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5C0461"/>
    <w:rsid w:val="00630865"/>
    <w:rsid w:val="006C7B18"/>
    <w:rsid w:val="00783138"/>
    <w:rsid w:val="0078390D"/>
    <w:rsid w:val="00793068"/>
    <w:rsid w:val="007E0532"/>
    <w:rsid w:val="00875066"/>
    <w:rsid w:val="008B30F9"/>
    <w:rsid w:val="008D56AA"/>
    <w:rsid w:val="009319EF"/>
    <w:rsid w:val="009736F3"/>
    <w:rsid w:val="009C48FC"/>
    <w:rsid w:val="00A34DFB"/>
    <w:rsid w:val="00A93403"/>
    <w:rsid w:val="00B06667"/>
    <w:rsid w:val="00B35360"/>
    <w:rsid w:val="00C44422"/>
    <w:rsid w:val="00CB3EFD"/>
    <w:rsid w:val="00CF10E0"/>
    <w:rsid w:val="00D25FDF"/>
    <w:rsid w:val="00D47E76"/>
    <w:rsid w:val="00DF7F19"/>
    <w:rsid w:val="00E91BC6"/>
    <w:rsid w:val="00F46E6A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пк</cp:lastModifiedBy>
  <cp:revision>16</cp:revision>
  <dcterms:created xsi:type="dcterms:W3CDTF">2022-02-25T05:15:00Z</dcterms:created>
  <dcterms:modified xsi:type="dcterms:W3CDTF">2022-03-23T20:50:00Z</dcterms:modified>
</cp:coreProperties>
</file>