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EE" w:rsidRPr="002A1643" w:rsidRDefault="008104EE" w:rsidP="008104EE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  <w:r w:rsidRPr="002A1643">
        <w:rPr>
          <w:rFonts w:ascii="Times New Roman" w:hAnsi="Times New Roman"/>
          <w:sz w:val="24"/>
          <w:szCs w:val="24"/>
        </w:rPr>
        <w:t xml:space="preserve">Заключение </w:t>
      </w:r>
    </w:p>
    <w:p w:rsidR="008104EE" w:rsidRPr="002A1643" w:rsidRDefault="00A51FF1" w:rsidP="008104EE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  <w:r w:rsidRPr="002A1643">
        <w:rPr>
          <w:rFonts w:ascii="Times New Roman" w:hAnsi="Times New Roman"/>
          <w:sz w:val="24"/>
          <w:szCs w:val="24"/>
        </w:rPr>
        <w:t>К</w:t>
      </w:r>
      <w:r w:rsidR="00347B1C" w:rsidRPr="002A1643">
        <w:rPr>
          <w:rFonts w:ascii="Times New Roman" w:hAnsi="Times New Roman"/>
          <w:sz w:val="24"/>
          <w:szCs w:val="24"/>
        </w:rPr>
        <w:t>онтрольно-</w:t>
      </w:r>
      <w:r w:rsidR="00E57BFA" w:rsidRPr="002A1643">
        <w:rPr>
          <w:rFonts w:ascii="Times New Roman" w:hAnsi="Times New Roman"/>
          <w:sz w:val="24"/>
          <w:szCs w:val="24"/>
        </w:rPr>
        <w:t>счетной</w:t>
      </w:r>
      <w:r w:rsidR="00347B1C" w:rsidRPr="002A1643">
        <w:rPr>
          <w:rFonts w:ascii="Times New Roman" w:hAnsi="Times New Roman"/>
          <w:sz w:val="24"/>
          <w:szCs w:val="24"/>
        </w:rPr>
        <w:t xml:space="preserve"> </w:t>
      </w:r>
      <w:r w:rsidR="008104EE" w:rsidRPr="002A1643">
        <w:rPr>
          <w:rFonts w:ascii="Times New Roman" w:hAnsi="Times New Roman"/>
          <w:sz w:val="24"/>
          <w:szCs w:val="24"/>
        </w:rPr>
        <w:t>к</w:t>
      </w:r>
      <w:r w:rsidR="00687384" w:rsidRPr="002A1643">
        <w:rPr>
          <w:rFonts w:ascii="Times New Roman" w:hAnsi="Times New Roman"/>
          <w:sz w:val="24"/>
          <w:szCs w:val="24"/>
        </w:rPr>
        <w:t>омиссии</w:t>
      </w:r>
      <w:r w:rsidR="008104EE" w:rsidRPr="002A1643">
        <w:rPr>
          <w:rFonts w:ascii="Times New Roman" w:hAnsi="Times New Roman"/>
          <w:sz w:val="24"/>
          <w:szCs w:val="24"/>
        </w:rPr>
        <w:t xml:space="preserve"> </w:t>
      </w:r>
      <w:r w:rsidR="00BE30C0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BE30C0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sz w:val="24"/>
          <w:szCs w:val="24"/>
        </w:rPr>
        <w:t xml:space="preserve"> по результатам экспертизы «Проекта бюджета </w:t>
      </w:r>
      <w:r w:rsidR="002458E1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2458E1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2458E1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2458E1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2458E1" w:rsidRPr="002A1643">
        <w:rPr>
          <w:rFonts w:ascii="Times New Roman" w:hAnsi="Times New Roman"/>
          <w:sz w:val="24"/>
          <w:szCs w:val="24"/>
        </w:rPr>
        <w:t xml:space="preserve"> Самарской области </w:t>
      </w:r>
      <w:r w:rsidRPr="002A1643">
        <w:rPr>
          <w:rFonts w:ascii="Times New Roman" w:hAnsi="Times New Roman"/>
          <w:sz w:val="24"/>
          <w:szCs w:val="24"/>
        </w:rPr>
        <w:t xml:space="preserve"> на 20</w:t>
      </w:r>
      <w:r w:rsidR="00FF2EE0">
        <w:rPr>
          <w:rFonts w:ascii="Times New Roman" w:hAnsi="Times New Roman"/>
          <w:sz w:val="24"/>
          <w:szCs w:val="24"/>
        </w:rPr>
        <w:t>2</w:t>
      </w:r>
      <w:r w:rsidR="007E28A5">
        <w:rPr>
          <w:rFonts w:ascii="Times New Roman" w:hAnsi="Times New Roman"/>
          <w:sz w:val="24"/>
          <w:szCs w:val="24"/>
        </w:rPr>
        <w:t>1</w:t>
      </w:r>
      <w:r w:rsidR="000A1EB0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E28A5">
        <w:rPr>
          <w:rFonts w:ascii="Times New Roman" w:hAnsi="Times New Roman"/>
          <w:sz w:val="24"/>
          <w:szCs w:val="24"/>
        </w:rPr>
        <w:t>2</w:t>
      </w:r>
      <w:r w:rsidR="002458E1" w:rsidRPr="002A1643">
        <w:rPr>
          <w:rFonts w:ascii="Times New Roman" w:hAnsi="Times New Roman"/>
          <w:sz w:val="24"/>
          <w:szCs w:val="24"/>
        </w:rPr>
        <w:t xml:space="preserve"> и 202</w:t>
      </w:r>
      <w:r w:rsidR="007E28A5">
        <w:rPr>
          <w:rFonts w:ascii="Times New Roman" w:hAnsi="Times New Roman"/>
          <w:sz w:val="24"/>
          <w:szCs w:val="24"/>
        </w:rPr>
        <w:t>3</w:t>
      </w:r>
      <w:r w:rsidRPr="002A1643">
        <w:rPr>
          <w:rFonts w:ascii="Times New Roman" w:hAnsi="Times New Roman"/>
          <w:sz w:val="24"/>
          <w:szCs w:val="24"/>
        </w:rPr>
        <w:t xml:space="preserve"> годов».</w:t>
      </w:r>
    </w:p>
    <w:p w:rsidR="00290BD1" w:rsidRPr="002A1643" w:rsidRDefault="00290BD1" w:rsidP="008104EE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458E1" w:rsidRPr="002A1643" w:rsidRDefault="002458E1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547F9B" w:rsidRPr="002A1643" w:rsidRDefault="00290BD1" w:rsidP="00547F9B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ст.</w:t>
      </w:r>
      <w:r w:rsidR="00331FD4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Клявлин</w:t>
      </w:r>
      <w:r w:rsidRPr="00F25A2F">
        <w:rPr>
          <w:rFonts w:ascii="Times New Roman" w:hAnsi="Times New Roman"/>
          <w:b w:val="0"/>
          <w:sz w:val="24"/>
          <w:szCs w:val="24"/>
        </w:rPr>
        <w:t>о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</w:t>
      </w:r>
      <w:r w:rsidR="00FF2EE0">
        <w:rPr>
          <w:rFonts w:ascii="Times New Roman" w:hAnsi="Times New Roman"/>
          <w:b w:val="0"/>
          <w:sz w:val="24"/>
          <w:szCs w:val="24"/>
        </w:rPr>
        <w:t xml:space="preserve"> </w:t>
      </w:r>
      <w:r w:rsidR="00602F90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FF2EE0">
        <w:rPr>
          <w:rFonts w:ascii="Times New Roman" w:hAnsi="Times New Roman"/>
          <w:b w:val="0"/>
          <w:sz w:val="24"/>
          <w:szCs w:val="24"/>
        </w:rPr>
        <w:t xml:space="preserve">                        «13</w:t>
      </w:r>
      <w:r w:rsidR="00F07C09" w:rsidRPr="002A1643">
        <w:rPr>
          <w:rFonts w:ascii="Times New Roman" w:hAnsi="Times New Roman"/>
          <w:b w:val="0"/>
          <w:sz w:val="24"/>
          <w:szCs w:val="24"/>
        </w:rPr>
        <w:t xml:space="preserve">» </w:t>
      </w:r>
      <w:r w:rsidR="000A1EB0">
        <w:rPr>
          <w:rFonts w:ascii="Times New Roman" w:hAnsi="Times New Roman"/>
          <w:b w:val="0"/>
          <w:sz w:val="24"/>
          <w:szCs w:val="24"/>
        </w:rPr>
        <w:t xml:space="preserve"> </w:t>
      </w:r>
      <w:r w:rsidR="00FF2EE0">
        <w:rPr>
          <w:rFonts w:ascii="Times New Roman" w:hAnsi="Times New Roman"/>
          <w:b w:val="0"/>
          <w:sz w:val="24"/>
          <w:szCs w:val="24"/>
        </w:rPr>
        <w:t xml:space="preserve">ноября  </w:t>
      </w:r>
      <w:r w:rsidR="00DA6182" w:rsidRPr="002A1643">
        <w:rPr>
          <w:rFonts w:ascii="Times New Roman" w:hAnsi="Times New Roman"/>
          <w:b w:val="0"/>
          <w:sz w:val="24"/>
          <w:szCs w:val="24"/>
        </w:rPr>
        <w:t>20</w:t>
      </w:r>
      <w:r w:rsidR="007E28A5">
        <w:rPr>
          <w:rFonts w:ascii="Times New Roman" w:hAnsi="Times New Roman"/>
          <w:b w:val="0"/>
          <w:sz w:val="24"/>
          <w:szCs w:val="24"/>
        </w:rPr>
        <w:t>20</w:t>
      </w:r>
      <w:r w:rsidR="00DA6182" w:rsidRPr="002A1643">
        <w:rPr>
          <w:rFonts w:ascii="Times New Roman" w:hAnsi="Times New Roman"/>
          <w:b w:val="0"/>
          <w:sz w:val="24"/>
          <w:szCs w:val="24"/>
        </w:rPr>
        <w:t xml:space="preserve"> года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547F9B" w:rsidRPr="002A1643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290BD1" w:rsidRPr="002A1643" w:rsidRDefault="00547F9B" w:rsidP="00547F9B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104EE" w:rsidRPr="002A1643" w:rsidRDefault="008104EE" w:rsidP="00DA6182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104EE" w:rsidRPr="002A1643" w:rsidRDefault="008104EE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636F8E" w:rsidRPr="002A1643" w:rsidRDefault="00636F8E" w:rsidP="00636F8E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 xml:space="preserve">     </w:t>
      </w:r>
      <w:proofErr w:type="gramStart"/>
      <w:r w:rsidRPr="002A1643">
        <w:rPr>
          <w:rFonts w:ascii="Times New Roman" w:hAnsi="Times New Roman"/>
          <w:b w:val="0"/>
          <w:sz w:val="24"/>
          <w:szCs w:val="24"/>
        </w:rPr>
        <w:t xml:space="preserve">Экспертиза проекта бюджета </w:t>
      </w:r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сельского поселения Старое </w:t>
      </w:r>
      <w:proofErr w:type="spellStart"/>
      <w:r w:rsidR="002458E1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="002458E1"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на 20</w:t>
      </w:r>
      <w:r w:rsidR="00FF2EE0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1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  и </w:t>
      </w:r>
      <w:r w:rsidR="000A1EB0">
        <w:rPr>
          <w:rFonts w:ascii="Times New Roman" w:hAnsi="Times New Roman"/>
          <w:b w:val="0"/>
          <w:sz w:val="24"/>
          <w:szCs w:val="24"/>
        </w:rPr>
        <w:t>на плановый период 202</w:t>
      </w:r>
      <w:r w:rsidR="007E28A5">
        <w:rPr>
          <w:rFonts w:ascii="Times New Roman" w:hAnsi="Times New Roman"/>
          <w:b w:val="0"/>
          <w:sz w:val="24"/>
          <w:szCs w:val="24"/>
        </w:rPr>
        <w:t>2</w:t>
      </w:r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и 202</w:t>
      </w:r>
      <w:r w:rsidR="007E28A5">
        <w:rPr>
          <w:rFonts w:ascii="Times New Roman" w:hAnsi="Times New Roman"/>
          <w:b w:val="0"/>
          <w:sz w:val="24"/>
          <w:szCs w:val="24"/>
        </w:rPr>
        <w:t>3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годов проводилась Контрольно-</w:t>
      </w:r>
      <w:r w:rsidR="00B65153">
        <w:rPr>
          <w:rFonts w:ascii="Times New Roman" w:hAnsi="Times New Roman"/>
          <w:b w:val="0"/>
          <w:sz w:val="24"/>
          <w:szCs w:val="24"/>
        </w:rPr>
        <w:t>счетной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комиссией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(далее:</w:t>
      </w:r>
      <w:proofErr w:type="gramEnd"/>
      <w:r w:rsidRPr="002A1643">
        <w:rPr>
          <w:rFonts w:ascii="Times New Roman" w:hAnsi="Times New Roman"/>
          <w:b w:val="0"/>
          <w:sz w:val="24"/>
          <w:szCs w:val="24"/>
        </w:rPr>
        <w:t xml:space="preserve"> Контрольн</w:t>
      </w:r>
      <w:proofErr w:type="gramStart"/>
      <w:r w:rsidRPr="002A1643">
        <w:rPr>
          <w:rFonts w:ascii="Times New Roman" w:hAnsi="Times New Roman"/>
          <w:b w:val="0"/>
          <w:sz w:val="24"/>
          <w:szCs w:val="24"/>
        </w:rPr>
        <w:t>о-</w:t>
      </w:r>
      <w:proofErr w:type="gramEnd"/>
      <w:r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="00B65153">
        <w:rPr>
          <w:rFonts w:ascii="Times New Roman" w:hAnsi="Times New Roman"/>
          <w:b w:val="0"/>
          <w:sz w:val="24"/>
          <w:szCs w:val="24"/>
        </w:rPr>
        <w:t>счетная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комиссия) на предмет соответствия требованиям Бюджетного кодекса  Российской Федерации (далее: БК РФ), Положению  о бюджетном устройстве и бюджетном процессе в </w:t>
      </w:r>
      <w:r w:rsidR="002458E1" w:rsidRPr="002A1643">
        <w:rPr>
          <w:rFonts w:ascii="Times New Roman" w:hAnsi="Times New Roman"/>
          <w:b w:val="0"/>
          <w:sz w:val="24"/>
          <w:szCs w:val="24"/>
        </w:rPr>
        <w:t>сельско</w:t>
      </w:r>
      <w:r w:rsidR="00DA6182" w:rsidRPr="002A1643">
        <w:rPr>
          <w:rFonts w:ascii="Times New Roman" w:hAnsi="Times New Roman"/>
          <w:b w:val="0"/>
          <w:sz w:val="24"/>
          <w:szCs w:val="24"/>
        </w:rPr>
        <w:t>м</w:t>
      </w:r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поселени</w:t>
      </w:r>
      <w:r w:rsidR="00DA6182" w:rsidRPr="002A1643">
        <w:rPr>
          <w:rFonts w:ascii="Times New Roman" w:hAnsi="Times New Roman"/>
          <w:b w:val="0"/>
          <w:sz w:val="24"/>
          <w:szCs w:val="24"/>
        </w:rPr>
        <w:t>и</w:t>
      </w:r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Старое </w:t>
      </w:r>
      <w:proofErr w:type="spellStart"/>
      <w:r w:rsidR="002458E1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="002458E1"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(далее: </w:t>
      </w:r>
      <w:proofErr w:type="gramStart"/>
      <w:r w:rsidRPr="002A1643">
        <w:rPr>
          <w:rFonts w:ascii="Times New Roman" w:hAnsi="Times New Roman"/>
          <w:b w:val="0"/>
          <w:sz w:val="24"/>
          <w:szCs w:val="24"/>
        </w:rPr>
        <w:t xml:space="preserve">Положение о бюджетном процессе), утвержденному решением Собрания представителей </w:t>
      </w:r>
      <w:r w:rsidR="00DA6182" w:rsidRPr="002A1643">
        <w:rPr>
          <w:rFonts w:ascii="Times New Roman" w:hAnsi="Times New Roman"/>
          <w:b w:val="0"/>
          <w:sz w:val="24"/>
          <w:szCs w:val="24"/>
        </w:rPr>
        <w:t xml:space="preserve">сельского поселения Старое </w:t>
      </w:r>
      <w:proofErr w:type="spellStart"/>
      <w:r w:rsidR="00DA6182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DA6182"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="00DA6182"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DA6182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от</w:t>
      </w:r>
      <w:r w:rsidR="00DA6182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1</w:t>
      </w:r>
      <w:r w:rsidR="00DA6182" w:rsidRPr="002A1643">
        <w:rPr>
          <w:rFonts w:ascii="Times New Roman" w:hAnsi="Times New Roman"/>
          <w:b w:val="0"/>
          <w:sz w:val="24"/>
          <w:szCs w:val="24"/>
        </w:rPr>
        <w:t>0</w:t>
      </w:r>
      <w:r w:rsidRPr="002A1643">
        <w:rPr>
          <w:rFonts w:ascii="Times New Roman" w:hAnsi="Times New Roman"/>
          <w:b w:val="0"/>
          <w:sz w:val="24"/>
          <w:szCs w:val="24"/>
        </w:rPr>
        <w:t>.</w:t>
      </w:r>
      <w:r w:rsidR="00DA6182" w:rsidRPr="002A1643">
        <w:rPr>
          <w:rFonts w:ascii="Times New Roman" w:hAnsi="Times New Roman"/>
          <w:b w:val="0"/>
          <w:sz w:val="24"/>
          <w:szCs w:val="24"/>
        </w:rPr>
        <w:t>1</w:t>
      </w:r>
      <w:r w:rsidRPr="002A1643">
        <w:rPr>
          <w:rFonts w:ascii="Times New Roman" w:hAnsi="Times New Roman"/>
          <w:b w:val="0"/>
          <w:sz w:val="24"/>
          <w:szCs w:val="24"/>
        </w:rPr>
        <w:t>0.201</w:t>
      </w:r>
      <w:r w:rsidR="00DA6182" w:rsidRPr="002A1643">
        <w:rPr>
          <w:rFonts w:ascii="Times New Roman" w:hAnsi="Times New Roman"/>
          <w:b w:val="0"/>
          <w:sz w:val="24"/>
          <w:szCs w:val="24"/>
        </w:rPr>
        <w:t>7г.  №21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и иных  действующих законодательных и нормативно правовых  актов.</w:t>
      </w:r>
      <w:proofErr w:type="gramEnd"/>
    </w:p>
    <w:p w:rsidR="00636F8E" w:rsidRPr="002A1643" w:rsidRDefault="00636F8E" w:rsidP="00290BD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4E61" w:rsidRPr="002A1643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A1643">
        <w:rPr>
          <w:rFonts w:ascii="Times New Roman" w:hAnsi="Times New Roman"/>
          <w:b w:val="0"/>
          <w:sz w:val="24"/>
          <w:szCs w:val="24"/>
        </w:rPr>
        <w:t xml:space="preserve">В соответствии со ст. </w:t>
      </w:r>
      <w:r w:rsidR="00BA7EF3" w:rsidRPr="002A1643">
        <w:rPr>
          <w:rFonts w:ascii="Times New Roman" w:hAnsi="Times New Roman"/>
          <w:b w:val="0"/>
          <w:sz w:val="24"/>
          <w:szCs w:val="24"/>
        </w:rPr>
        <w:t>2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1 Положения о бюджетном процессе Глава </w:t>
      </w:r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сельского поселения Старое </w:t>
      </w:r>
      <w:proofErr w:type="spellStart"/>
      <w:r w:rsidR="007E5EC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</w:t>
      </w:r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области вносит на рассмотрение </w:t>
      </w:r>
      <w:r w:rsidRPr="002A1643">
        <w:rPr>
          <w:rFonts w:ascii="Times New Roman" w:hAnsi="Times New Roman"/>
          <w:b w:val="0"/>
          <w:sz w:val="24"/>
          <w:szCs w:val="24"/>
        </w:rPr>
        <w:t>депутатов Собрания представителей</w:t>
      </w:r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7E5EC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проект местного бюджета (далее:</w:t>
      </w:r>
      <w:proofErr w:type="gramEnd"/>
      <w:r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2A1643">
        <w:rPr>
          <w:rFonts w:ascii="Times New Roman" w:hAnsi="Times New Roman"/>
          <w:b w:val="0"/>
          <w:sz w:val="24"/>
          <w:szCs w:val="24"/>
        </w:rPr>
        <w:t>Проект).</w:t>
      </w:r>
      <w:proofErr w:type="gramEnd"/>
    </w:p>
    <w:p w:rsidR="00D24E61" w:rsidRPr="002A1643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A1643">
        <w:rPr>
          <w:rFonts w:ascii="Times New Roman" w:hAnsi="Times New Roman"/>
          <w:b w:val="0"/>
          <w:sz w:val="24"/>
          <w:szCs w:val="24"/>
        </w:rPr>
        <w:t xml:space="preserve">Постановлением Главы </w:t>
      </w:r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сельского поселения Старое </w:t>
      </w:r>
      <w:proofErr w:type="spellStart"/>
      <w:r w:rsidR="007E5EC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</w:t>
      </w:r>
      <w:r w:rsidR="00124E6F" w:rsidRPr="002A1643">
        <w:rPr>
          <w:rFonts w:ascii="Times New Roman" w:hAnsi="Times New Roman"/>
          <w:b w:val="0"/>
          <w:sz w:val="24"/>
          <w:szCs w:val="24"/>
        </w:rPr>
        <w:t>влинский</w:t>
      </w:r>
      <w:proofErr w:type="spellEnd"/>
      <w:r w:rsidR="00124E6F" w:rsidRPr="002A1643">
        <w:rPr>
          <w:rFonts w:ascii="Times New Roman" w:hAnsi="Times New Roman"/>
          <w:b w:val="0"/>
          <w:sz w:val="24"/>
          <w:szCs w:val="24"/>
        </w:rPr>
        <w:t xml:space="preserve"> Самар</w:t>
      </w:r>
      <w:r w:rsidR="000A1EB0">
        <w:rPr>
          <w:rFonts w:ascii="Times New Roman" w:hAnsi="Times New Roman"/>
          <w:b w:val="0"/>
          <w:sz w:val="24"/>
          <w:szCs w:val="24"/>
        </w:rPr>
        <w:t xml:space="preserve">ской </w:t>
      </w:r>
      <w:r w:rsidR="000A1EB0" w:rsidRPr="00FC4EDE">
        <w:rPr>
          <w:rFonts w:ascii="Times New Roman" w:hAnsi="Times New Roman"/>
          <w:b w:val="0"/>
          <w:sz w:val="24"/>
          <w:szCs w:val="24"/>
        </w:rPr>
        <w:t>области  от 1</w:t>
      </w:r>
      <w:r w:rsidR="00FC4EDE" w:rsidRPr="00FC4EDE">
        <w:rPr>
          <w:rFonts w:ascii="Times New Roman" w:hAnsi="Times New Roman"/>
          <w:b w:val="0"/>
          <w:sz w:val="24"/>
          <w:szCs w:val="24"/>
        </w:rPr>
        <w:t>3</w:t>
      </w:r>
      <w:r w:rsidR="000A1EB0" w:rsidRPr="00FC4EDE">
        <w:rPr>
          <w:rFonts w:ascii="Times New Roman" w:hAnsi="Times New Roman"/>
          <w:b w:val="0"/>
          <w:sz w:val="24"/>
          <w:szCs w:val="24"/>
        </w:rPr>
        <w:t>.11.20</w:t>
      </w:r>
      <w:r w:rsidR="00FC4EDE" w:rsidRPr="00FC4EDE">
        <w:rPr>
          <w:rFonts w:ascii="Times New Roman" w:hAnsi="Times New Roman"/>
          <w:b w:val="0"/>
          <w:sz w:val="24"/>
          <w:szCs w:val="24"/>
        </w:rPr>
        <w:t>20</w:t>
      </w:r>
      <w:r w:rsidR="000A1EB0" w:rsidRPr="00FC4EDE">
        <w:rPr>
          <w:rFonts w:ascii="Times New Roman" w:hAnsi="Times New Roman"/>
          <w:b w:val="0"/>
          <w:sz w:val="24"/>
          <w:szCs w:val="24"/>
        </w:rPr>
        <w:t xml:space="preserve">г. № </w:t>
      </w:r>
      <w:r w:rsidR="00FC4EDE" w:rsidRPr="00FC4EDE">
        <w:rPr>
          <w:rFonts w:ascii="Times New Roman" w:hAnsi="Times New Roman"/>
          <w:b w:val="0"/>
          <w:sz w:val="24"/>
          <w:szCs w:val="24"/>
        </w:rPr>
        <w:t>39</w:t>
      </w:r>
      <w:r w:rsidRPr="00FC4EDE">
        <w:rPr>
          <w:rFonts w:ascii="Times New Roman" w:hAnsi="Times New Roman"/>
          <w:b w:val="0"/>
          <w:sz w:val="24"/>
          <w:szCs w:val="24"/>
        </w:rPr>
        <w:t xml:space="preserve">  «</w:t>
      </w:r>
      <w:r w:rsidR="00DD18C7" w:rsidRPr="00FC4EDE">
        <w:rPr>
          <w:rFonts w:ascii="Times New Roman" w:hAnsi="Times New Roman"/>
          <w:b w:val="0"/>
          <w:sz w:val="24"/>
          <w:szCs w:val="24"/>
        </w:rPr>
        <w:t xml:space="preserve"> </w:t>
      </w:r>
      <w:r w:rsidRPr="00FC4EDE">
        <w:rPr>
          <w:rFonts w:ascii="Times New Roman" w:hAnsi="Times New Roman"/>
          <w:b w:val="0"/>
          <w:sz w:val="24"/>
          <w:szCs w:val="24"/>
        </w:rPr>
        <w:t>О</w:t>
      </w:r>
      <w:r w:rsidR="00DD18C7" w:rsidRPr="00FC4EDE">
        <w:rPr>
          <w:rFonts w:ascii="Times New Roman" w:hAnsi="Times New Roman"/>
          <w:b w:val="0"/>
          <w:sz w:val="24"/>
          <w:szCs w:val="24"/>
        </w:rPr>
        <w:t xml:space="preserve"> направлении </w:t>
      </w:r>
      <w:r w:rsidRPr="00FC4EDE">
        <w:rPr>
          <w:rFonts w:ascii="Times New Roman" w:hAnsi="Times New Roman"/>
          <w:b w:val="0"/>
          <w:sz w:val="24"/>
          <w:szCs w:val="24"/>
        </w:rPr>
        <w:t>проект</w:t>
      </w:r>
      <w:r w:rsidR="00DD18C7" w:rsidRPr="00FC4EDE">
        <w:rPr>
          <w:rFonts w:ascii="Times New Roman" w:hAnsi="Times New Roman"/>
          <w:b w:val="0"/>
          <w:sz w:val="24"/>
          <w:szCs w:val="24"/>
        </w:rPr>
        <w:t>а</w:t>
      </w:r>
      <w:r w:rsidRPr="00FC4EDE">
        <w:rPr>
          <w:rFonts w:ascii="Times New Roman" w:hAnsi="Times New Roman"/>
          <w:b w:val="0"/>
          <w:sz w:val="24"/>
          <w:szCs w:val="24"/>
        </w:rPr>
        <w:t xml:space="preserve"> бюджета</w:t>
      </w:r>
      <w:r w:rsidR="007E5ECF" w:rsidRPr="00FC4EDE">
        <w:rPr>
          <w:rFonts w:ascii="Times New Roman" w:hAnsi="Times New Roman"/>
          <w:b w:val="0"/>
          <w:sz w:val="24"/>
          <w:szCs w:val="24"/>
        </w:rPr>
        <w:t xml:space="preserve"> </w:t>
      </w:r>
      <w:r w:rsidRPr="00FC4EDE">
        <w:rPr>
          <w:rFonts w:ascii="Times New Roman" w:hAnsi="Times New Roman"/>
          <w:b w:val="0"/>
          <w:sz w:val="24"/>
          <w:szCs w:val="24"/>
        </w:rPr>
        <w:t xml:space="preserve"> </w:t>
      </w:r>
      <w:r w:rsidR="007E5ECF" w:rsidRPr="00FC4EDE">
        <w:rPr>
          <w:rFonts w:ascii="Times New Roman" w:hAnsi="Times New Roman"/>
          <w:b w:val="0"/>
          <w:sz w:val="24"/>
          <w:szCs w:val="24"/>
        </w:rPr>
        <w:t xml:space="preserve">сельского поселения Старое </w:t>
      </w:r>
      <w:proofErr w:type="spellStart"/>
      <w:r w:rsidR="007E5ECF" w:rsidRPr="00FC4EDE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7E5ECF" w:rsidRPr="00FC4EDE">
        <w:rPr>
          <w:rFonts w:ascii="Times New Roman" w:hAnsi="Times New Roman"/>
          <w:b w:val="0"/>
          <w:sz w:val="24"/>
          <w:szCs w:val="24"/>
        </w:rPr>
        <w:t xml:space="preserve"> </w:t>
      </w:r>
      <w:r w:rsidRPr="00FC4EDE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FC4EDE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FC4EDE">
        <w:rPr>
          <w:rFonts w:ascii="Times New Roman" w:hAnsi="Times New Roman"/>
          <w:b w:val="0"/>
          <w:sz w:val="24"/>
          <w:szCs w:val="24"/>
        </w:rPr>
        <w:t xml:space="preserve">  Самарской области на 20</w:t>
      </w:r>
      <w:r w:rsidR="00FF2EE0" w:rsidRPr="00FC4EDE">
        <w:rPr>
          <w:rFonts w:ascii="Times New Roman" w:hAnsi="Times New Roman"/>
          <w:b w:val="0"/>
          <w:sz w:val="24"/>
          <w:szCs w:val="24"/>
        </w:rPr>
        <w:t>2</w:t>
      </w:r>
      <w:r w:rsidR="007E28A5" w:rsidRPr="00FC4EDE">
        <w:rPr>
          <w:rFonts w:ascii="Times New Roman" w:hAnsi="Times New Roman"/>
          <w:b w:val="0"/>
          <w:sz w:val="24"/>
          <w:szCs w:val="24"/>
        </w:rPr>
        <w:t>1</w:t>
      </w:r>
      <w:r w:rsidR="000A1EB0" w:rsidRPr="00FC4EDE">
        <w:rPr>
          <w:rFonts w:ascii="Times New Roman" w:hAnsi="Times New Roman"/>
          <w:b w:val="0"/>
          <w:sz w:val="24"/>
          <w:szCs w:val="24"/>
        </w:rPr>
        <w:t xml:space="preserve"> год и на плановый период 202</w:t>
      </w:r>
      <w:r w:rsidR="007E28A5" w:rsidRPr="00FC4EDE">
        <w:rPr>
          <w:rFonts w:ascii="Times New Roman" w:hAnsi="Times New Roman"/>
          <w:b w:val="0"/>
          <w:sz w:val="24"/>
          <w:szCs w:val="24"/>
        </w:rPr>
        <w:t>2</w:t>
      </w:r>
      <w:r w:rsidR="007E5ECF" w:rsidRPr="00FC4EDE">
        <w:rPr>
          <w:rFonts w:ascii="Times New Roman" w:hAnsi="Times New Roman"/>
          <w:b w:val="0"/>
          <w:sz w:val="24"/>
          <w:szCs w:val="24"/>
        </w:rPr>
        <w:t xml:space="preserve"> и 202</w:t>
      </w:r>
      <w:r w:rsidR="007E28A5" w:rsidRPr="00FC4EDE">
        <w:rPr>
          <w:rFonts w:ascii="Times New Roman" w:hAnsi="Times New Roman"/>
          <w:b w:val="0"/>
          <w:sz w:val="24"/>
          <w:szCs w:val="24"/>
        </w:rPr>
        <w:t>3</w:t>
      </w:r>
      <w:r w:rsidR="007E5ECF" w:rsidRPr="00FC4EDE">
        <w:rPr>
          <w:rFonts w:ascii="Times New Roman" w:hAnsi="Times New Roman"/>
          <w:b w:val="0"/>
          <w:sz w:val="24"/>
          <w:szCs w:val="24"/>
        </w:rPr>
        <w:t xml:space="preserve"> </w:t>
      </w:r>
      <w:r w:rsidRPr="00FC4EDE">
        <w:rPr>
          <w:rFonts w:ascii="Times New Roman" w:hAnsi="Times New Roman"/>
          <w:b w:val="0"/>
          <w:sz w:val="24"/>
          <w:szCs w:val="24"/>
        </w:rPr>
        <w:t>годов</w:t>
      </w:r>
      <w:r w:rsidR="00DD18C7" w:rsidRPr="00FC4EDE">
        <w:rPr>
          <w:rFonts w:ascii="Times New Roman" w:hAnsi="Times New Roman"/>
          <w:b w:val="0"/>
          <w:sz w:val="24"/>
          <w:szCs w:val="24"/>
        </w:rPr>
        <w:t xml:space="preserve"> в Собрания представителей сельского</w:t>
      </w:r>
      <w:r w:rsidR="00DD18C7" w:rsidRPr="002A1643">
        <w:rPr>
          <w:rFonts w:ascii="Times New Roman" w:hAnsi="Times New Roman"/>
          <w:b w:val="0"/>
          <w:sz w:val="24"/>
          <w:szCs w:val="24"/>
        </w:rPr>
        <w:t xml:space="preserve"> поселения Старое </w:t>
      </w:r>
      <w:proofErr w:type="spellStart"/>
      <w:r w:rsidR="00DD18C7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DD18C7"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="00DD18C7"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DD18C7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Pr="002A1643">
        <w:rPr>
          <w:rFonts w:ascii="Times New Roman" w:hAnsi="Times New Roman"/>
          <w:b w:val="0"/>
          <w:sz w:val="24"/>
          <w:szCs w:val="24"/>
        </w:rPr>
        <w:t>»</w:t>
      </w:r>
      <w:r w:rsidR="00DD18C7" w:rsidRPr="002A1643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2A1643">
        <w:rPr>
          <w:rFonts w:ascii="Times New Roman" w:hAnsi="Times New Roman"/>
          <w:b w:val="0"/>
          <w:sz w:val="24"/>
          <w:szCs w:val="24"/>
        </w:rPr>
        <w:t xml:space="preserve">  Главой</w:t>
      </w:r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сельского поселения Старое </w:t>
      </w:r>
      <w:proofErr w:type="spellStart"/>
      <w:r w:rsidR="007E5EC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EF7E07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одобрен  проект решения «О бюджете</w:t>
      </w:r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7E5EC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 Самарской области на 20</w:t>
      </w:r>
      <w:r w:rsidR="00FF2EE0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1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 и на плановый период 20</w:t>
      </w:r>
      <w:r w:rsidR="000A1EB0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2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и</w:t>
      </w:r>
      <w:r w:rsidR="007E5ECF" w:rsidRPr="002A1643">
        <w:rPr>
          <w:rFonts w:ascii="Times New Roman" w:hAnsi="Times New Roman"/>
          <w:b w:val="0"/>
          <w:sz w:val="24"/>
          <w:szCs w:val="24"/>
        </w:rPr>
        <w:t xml:space="preserve"> 202</w:t>
      </w:r>
      <w:r w:rsidR="007E28A5">
        <w:rPr>
          <w:rFonts w:ascii="Times New Roman" w:hAnsi="Times New Roman"/>
          <w:b w:val="0"/>
          <w:sz w:val="24"/>
          <w:szCs w:val="24"/>
        </w:rPr>
        <w:t>3</w:t>
      </w:r>
      <w:r w:rsidRPr="002A1643">
        <w:rPr>
          <w:rFonts w:ascii="Times New Roman" w:hAnsi="Times New Roman"/>
          <w:b w:val="0"/>
          <w:sz w:val="24"/>
          <w:szCs w:val="24"/>
        </w:rPr>
        <w:t>годов».</w:t>
      </w:r>
    </w:p>
    <w:p w:rsidR="00D24E61" w:rsidRPr="002A1643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 xml:space="preserve">Проверкой соблюдения сроков внесения Проекта на рассмотрение в представительный орган муниципального образования, предусмотренных статьей 185 БК РФ,  и сроков представления Проекта, документов и материалов, представляемых одновременно с ним в Контрольно-ревизионную  комиссию при Собрании представителей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FC4EDE">
        <w:rPr>
          <w:rFonts w:ascii="Times New Roman" w:hAnsi="Times New Roman"/>
          <w:b w:val="0"/>
          <w:sz w:val="24"/>
          <w:szCs w:val="24"/>
        </w:rPr>
        <w:t>(</w:t>
      </w:r>
      <w:r w:rsidR="000A1EB0" w:rsidRPr="00FC4EDE">
        <w:rPr>
          <w:rFonts w:ascii="Times New Roman" w:hAnsi="Times New Roman"/>
          <w:b w:val="0"/>
          <w:sz w:val="24"/>
          <w:szCs w:val="24"/>
        </w:rPr>
        <w:t>1</w:t>
      </w:r>
      <w:r w:rsidR="00FC4EDE" w:rsidRPr="00FC4EDE">
        <w:rPr>
          <w:rFonts w:ascii="Times New Roman" w:hAnsi="Times New Roman"/>
          <w:b w:val="0"/>
          <w:sz w:val="24"/>
          <w:szCs w:val="24"/>
        </w:rPr>
        <w:t>3</w:t>
      </w:r>
      <w:r w:rsidR="000A1EB0" w:rsidRPr="00FC4EDE">
        <w:rPr>
          <w:rFonts w:ascii="Times New Roman" w:hAnsi="Times New Roman"/>
          <w:b w:val="0"/>
          <w:sz w:val="24"/>
          <w:szCs w:val="24"/>
        </w:rPr>
        <w:t>.11.20</w:t>
      </w:r>
      <w:r w:rsidR="00FC4EDE" w:rsidRPr="00FC4EDE">
        <w:rPr>
          <w:rFonts w:ascii="Times New Roman" w:hAnsi="Times New Roman"/>
          <w:b w:val="0"/>
          <w:sz w:val="24"/>
          <w:szCs w:val="24"/>
        </w:rPr>
        <w:t>20</w:t>
      </w:r>
      <w:r w:rsidR="000A1EB0" w:rsidRPr="00FC4EDE">
        <w:rPr>
          <w:rFonts w:ascii="Times New Roman" w:hAnsi="Times New Roman"/>
          <w:b w:val="0"/>
          <w:sz w:val="24"/>
          <w:szCs w:val="24"/>
        </w:rPr>
        <w:t>г. № 4</w:t>
      </w:r>
      <w:r w:rsidR="00FC4EDE" w:rsidRPr="00FC4EDE">
        <w:rPr>
          <w:rFonts w:ascii="Times New Roman" w:hAnsi="Times New Roman"/>
          <w:b w:val="0"/>
          <w:sz w:val="24"/>
          <w:szCs w:val="24"/>
        </w:rPr>
        <w:t>36</w:t>
      </w:r>
      <w:r w:rsidRPr="00FC4EDE">
        <w:rPr>
          <w:rFonts w:ascii="Times New Roman" w:hAnsi="Times New Roman"/>
          <w:b w:val="0"/>
          <w:sz w:val="24"/>
          <w:szCs w:val="24"/>
        </w:rPr>
        <w:t>)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нарушений не установлено.</w:t>
      </w:r>
    </w:p>
    <w:p w:rsidR="00D24E61" w:rsidRPr="006B16F4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6B16F4">
        <w:rPr>
          <w:rFonts w:ascii="Times New Roman" w:hAnsi="Times New Roman"/>
          <w:b w:val="0"/>
          <w:sz w:val="24"/>
          <w:szCs w:val="24"/>
        </w:rPr>
        <w:t>Проверкой соблюдения требований статьи 36 БК РФ в части размещения Проекта в средствах массовой информации нарушений не установлено. Прое</w:t>
      </w:r>
      <w:proofErr w:type="gramStart"/>
      <w:r w:rsidRPr="006B16F4">
        <w:rPr>
          <w:rFonts w:ascii="Times New Roman" w:hAnsi="Times New Roman"/>
          <w:b w:val="0"/>
          <w:sz w:val="24"/>
          <w:szCs w:val="24"/>
        </w:rPr>
        <w:t>кт  с пр</w:t>
      </w:r>
      <w:proofErr w:type="gramEnd"/>
      <w:r w:rsidRPr="006B16F4">
        <w:rPr>
          <w:rFonts w:ascii="Times New Roman" w:hAnsi="Times New Roman"/>
          <w:b w:val="0"/>
          <w:sz w:val="24"/>
          <w:szCs w:val="24"/>
        </w:rPr>
        <w:t xml:space="preserve">иложениями размещен на сайте Администрации муниципального района </w:t>
      </w:r>
      <w:proofErr w:type="spellStart"/>
      <w:r w:rsidRPr="006B16F4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6B16F4">
        <w:rPr>
          <w:rFonts w:ascii="Times New Roman" w:hAnsi="Times New Roman"/>
          <w:b w:val="0"/>
          <w:sz w:val="24"/>
          <w:szCs w:val="24"/>
        </w:rPr>
        <w:t xml:space="preserve"> Самарской области:</w:t>
      </w:r>
      <w:r w:rsidRPr="006B16F4">
        <w:rPr>
          <w:sz w:val="24"/>
          <w:szCs w:val="24"/>
        </w:rPr>
        <w:t xml:space="preserve"> </w:t>
      </w:r>
      <w:hyperlink r:id="rId9" w:history="1">
        <w:r w:rsidRPr="006B16F4">
          <w:rPr>
            <w:rStyle w:val="a8"/>
            <w:rFonts w:ascii="Times New Roman" w:hAnsi="Times New Roman"/>
            <w:b w:val="0"/>
            <w:sz w:val="24"/>
            <w:szCs w:val="24"/>
          </w:rPr>
          <w:t>http://klvadm.ru</w:t>
        </w:r>
      </w:hyperlink>
      <w:r w:rsidRPr="006B16F4">
        <w:rPr>
          <w:rFonts w:ascii="Times New Roman" w:hAnsi="Times New Roman"/>
          <w:b w:val="0"/>
          <w:sz w:val="24"/>
          <w:szCs w:val="24"/>
        </w:rPr>
        <w:t xml:space="preserve">  в разделе  «Бюджет для граждан».</w:t>
      </w:r>
    </w:p>
    <w:p w:rsidR="00D24E61" w:rsidRPr="002A1643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6B16F4">
        <w:rPr>
          <w:rFonts w:ascii="Times New Roman" w:hAnsi="Times New Roman"/>
          <w:b w:val="0"/>
          <w:sz w:val="24"/>
          <w:szCs w:val="24"/>
        </w:rPr>
        <w:t>В соответствии со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статьей 184.2 БК РФ, ст. 17 Положения о бюджетном процессе </w:t>
      </w:r>
      <w:bookmarkStart w:id="0" w:name="_GoBack"/>
      <w:bookmarkEnd w:id="0"/>
      <w:r w:rsidRPr="002A1643">
        <w:rPr>
          <w:rFonts w:ascii="Times New Roman" w:hAnsi="Times New Roman"/>
          <w:b w:val="0"/>
          <w:sz w:val="24"/>
          <w:szCs w:val="24"/>
        </w:rPr>
        <w:t>одновременно  с  Проектом решения  «О бюджете</w:t>
      </w:r>
      <w:r w:rsidR="00EF7E07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EF7E07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EF7E07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области» в </w:t>
      </w:r>
      <w:r w:rsidR="00B65153">
        <w:rPr>
          <w:rFonts w:ascii="Times New Roman" w:hAnsi="Times New Roman"/>
          <w:b w:val="0"/>
          <w:sz w:val="24"/>
          <w:szCs w:val="24"/>
        </w:rPr>
        <w:t>К</w:t>
      </w:r>
      <w:r w:rsidRPr="002A1643">
        <w:rPr>
          <w:rFonts w:ascii="Times New Roman" w:hAnsi="Times New Roman"/>
          <w:b w:val="0"/>
          <w:sz w:val="24"/>
          <w:szCs w:val="24"/>
        </w:rPr>
        <w:t>онтрольно-</w:t>
      </w:r>
      <w:r w:rsidR="00B65153">
        <w:rPr>
          <w:rFonts w:ascii="Times New Roman" w:hAnsi="Times New Roman"/>
          <w:b w:val="0"/>
          <w:sz w:val="24"/>
          <w:szCs w:val="24"/>
        </w:rPr>
        <w:t>счетную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комиссию 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были представлены следующие документы и материалы:</w:t>
      </w:r>
    </w:p>
    <w:p w:rsidR="00D24E61" w:rsidRPr="002A1643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-  основные направления бюджетной политики и основные направления налоговой политики;</w:t>
      </w:r>
    </w:p>
    <w:p w:rsidR="00D24E61" w:rsidRPr="002A1643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- предварительные</w:t>
      </w:r>
      <w:r w:rsidR="00EF7E07" w:rsidRPr="002A1643">
        <w:rPr>
          <w:rFonts w:ascii="Times New Roman" w:hAnsi="Times New Roman"/>
          <w:b w:val="0"/>
          <w:sz w:val="24"/>
          <w:szCs w:val="24"/>
        </w:rPr>
        <w:t xml:space="preserve"> итоги социально-экономического </w:t>
      </w:r>
      <w:r w:rsidRPr="002A1643">
        <w:rPr>
          <w:rFonts w:ascii="Times New Roman" w:hAnsi="Times New Roman"/>
          <w:b w:val="0"/>
          <w:sz w:val="24"/>
          <w:szCs w:val="24"/>
        </w:rPr>
        <w:t>развития</w:t>
      </w:r>
      <w:r w:rsidR="00EF7E07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EF7E07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EF7E07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за истекший период текущего финансового года и ожидаемые итоги со</w:t>
      </w:r>
      <w:r w:rsidR="00EF7E07" w:rsidRPr="002A1643">
        <w:rPr>
          <w:rFonts w:ascii="Times New Roman" w:hAnsi="Times New Roman"/>
          <w:b w:val="0"/>
          <w:sz w:val="24"/>
          <w:szCs w:val="24"/>
        </w:rPr>
        <w:t xml:space="preserve">циально-экономического развития сельского </w:t>
      </w:r>
      <w:r w:rsidR="00EF7E07" w:rsidRPr="002A1643">
        <w:rPr>
          <w:rFonts w:ascii="Times New Roman" w:hAnsi="Times New Roman"/>
          <w:b w:val="0"/>
          <w:sz w:val="24"/>
          <w:szCs w:val="24"/>
        </w:rPr>
        <w:lastRenderedPageBreak/>
        <w:t xml:space="preserve">поселения Старое </w:t>
      </w:r>
      <w:proofErr w:type="spellStart"/>
      <w:r w:rsidR="00EF7E07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EF7E07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 Самарской области на текущий финансовый год;</w:t>
      </w:r>
    </w:p>
    <w:p w:rsidR="00D24E61" w:rsidRPr="002A1643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- прогноз социально-экономического развития</w:t>
      </w:r>
      <w:r w:rsidR="00EF7E07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EF7E07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области;</w:t>
      </w:r>
    </w:p>
    <w:p w:rsidR="00D24E61" w:rsidRPr="002A1643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- прогноз основных характеристики (общий объем доходов, общий объем расходов, дефицита (профицита) бюджета) бюджета</w:t>
      </w:r>
      <w:r w:rsidR="00EF7E07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EF7E07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на 20</w:t>
      </w:r>
      <w:r w:rsidR="00FF2EE0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1</w:t>
      </w:r>
      <w:r w:rsidR="000A1EB0">
        <w:rPr>
          <w:rFonts w:ascii="Times New Roman" w:hAnsi="Times New Roman"/>
          <w:b w:val="0"/>
          <w:sz w:val="24"/>
          <w:szCs w:val="24"/>
        </w:rPr>
        <w:t xml:space="preserve"> год и на плановый период 202</w:t>
      </w:r>
      <w:r w:rsidR="007E28A5">
        <w:rPr>
          <w:rFonts w:ascii="Times New Roman" w:hAnsi="Times New Roman"/>
          <w:b w:val="0"/>
          <w:sz w:val="24"/>
          <w:szCs w:val="24"/>
        </w:rPr>
        <w:t xml:space="preserve">2 </w:t>
      </w:r>
      <w:r w:rsidR="00EF7E07" w:rsidRPr="002A1643">
        <w:rPr>
          <w:rFonts w:ascii="Times New Roman" w:hAnsi="Times New Roman"/>
          <w:b w:val="0"/>
          <w:sz w:val="24"/>
          <w:szCs w:val="24"/>
        </w:rPr>
        <w:t>и 202</w:t>
      </w:r>
      <w:r w:rsidR="007E28A5">
        <w:rPr>
          <w:rFonts w:ascii="Times New Roman" w:hAnsi="Times New Roman"/>
          <w:b w:val="0"/>
          <w:sz w:val="24"/>
          <w:szCs w:val="24"/>
        </w:rPr>
        <w:t>3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годов;</w:t>
      </w:r>
    </w:p>
    <w:p w:rsidR="00D24E61" w:rsidRPr="002A1643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- пояснительная записка к проекту бюджета</w:t>
      </w:r>
      <w:r w:rsidR="00EF7E07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EF7E07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 Самарской области на 20</w:t>
      </w:r>
      <w:r w:rsidR="00FF2EE0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1</w:t>
      </w:r>
      <w:r w:rsidR="000A1EB0">
        <w:rPr>
          <w:rFonts w:ascii="Times New Roman" w:hAnsi="Times New Roman"/>
          <w:b w:val="0"/>
          <w:sz w:val="24"/>
          <w:szCs w:val="24"/>
        </w:rPr>
        <w:t xml:space="preserve"> год и на плановый период 202</w:t>
      </w:r>
      <w:r w:rsidR="007E28A5">
        <w:rPr>
          <w:rFonts w:ascii="Times New Roman" w:hAnsi="Times New Roman"/>
          <w:b w:val="0"/>
          <w:sz w:val="24"/>
          <w:szCs w:val="24"/>
        </w:rPr>
        <w:t xml:space="preserve">2 </w:t>
      </w:r>
      <w:r w:rsidR="00EF7E07" w:rsidRPr="002A1643">
        <w:rPr>
          <w:rFonts w:ascii="Times New Roman" w:hAnsi="Times New Roman"/>
          <w:b w:val="0"/>
          <w:sz w:val="24"/>
          <w:szCs w:val="24"/>
        </w:rPr>
        <w:t>и 202</w:t>
      </w:r>
      <w:r w:rsidR="007E28A5">
        <w:rPr>
          <w:rFonts w:ascii="Times New Roman" w:hAnsi="Times New Roman"/>
          <w:b w:val="0"/>
          <w:sz w:val="24"/>
          <w:szCs w:val="24"/>
        </w:rPr>
        <w:t>3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годов;</w:t>
      </w:r>
    </w:p>
    <w:p w:rsidR="00D24E61" w:rsidRPr="002A1643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- верхний предел муниципального внутреннего долга на 01 января года, следующего за очередным финансовым годом и каждым годом планового периода;</w:t>
      </w:r>
    </w:p>
    <w:p w:rsidR="00D24E61" w:rsidRPr="002A1643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 xml:space="preserve">- </w:t>
      </w:r>
      <w:r w:rsidR="00B3539E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оценка ожидаемого исполнения бюджета на текущий финансовый год;</w:t>
      </w:r>
    </w:p>
    <w:p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-  проекты п</w:t>
      </w:r>
      <w:r w:rsidR="00B3539E">
        <w:rPr>
          <w:rFonts w:ascii="Times New Roman" w:hAnsi="Times New Roman"/>
          <w:b w:val="0"/>
          <w:sz w:val="24"/>
          <w:szCs w:val="24"/>
        </w:rPr>
        <w:t>аспортов муниципальных программ;</w:t>
      </w:r>
    </w:p>
    <w:p w:rsidR="00B3539E" w:rsidRPr="002A1643" w:rsidRDefault="00B3539E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м</w:t>
      </w:r>
      <w:r w:rsidRPr="00B3539E">
        <w:rPr>
          <w:rFonts w:ascii="Times New Roman" w:hAnsi="Times New Roman"/>
          <w:b w:val="0"/>
          <w:sz w:val="24"/>
          <w:szCs w:val="24"/>
        </w:rPr>
        <w:t>етодик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B3539E">
        <w:rPr>
          <w:rFonts w:ascii="Times New Roman" w:hAnsi="Times New Roman"/>
          <w:b w:val="0"/>
          <w:sz w:val="24"/>
          <w:szCs w:val="24"/>
        </w:rPr>
        <w:t xml:space="preserve"> прогнозирования поступлений доходов</w:t>
      </w:r>
      <w:r>
        <w:rPr>
          <w:rFonts w:ascii="Times New Roman" w:hAnsi="Times New Roman"/>
          <w:b w:val="0"/>
          <w:sz w:val="24"/>
          <w:szCs w:val="24"/>
        </w:rPr>
        <w:t>,</w:t>
      </w:r>
      <w:r>
        <w:t xml:space="preserve"> </w:t>
      </w:r>
      <w:r w:rsidRPr="00B3539E">
        <w:rPr>
          <w:rFonts w:ascii="Times New Roman" w:hAnsi="Times New Roman"/>
          <w:b w:val="0"/>
        </w:rPr>
        <w:t>м</w:t>
      </w:r>
      <w:r w:rsidRPr="00B3539E">
        <w:rPr>
          <w:rFonts w:ascii="Times New Roman" w:hAnsi="Times New Roman"/>
          <w:b w:val="0"/>
          <w:sz w:val="24"/>
          <w:szCs w:val="24"/>
        </w:rPr>
        <w:t>етодика распределения  межбюджетных трансфертов</w:t>
      </w:r>
      <w:r>
        <w:rPr>
          <w:rFonts w:ascii="Times New Roman" w:hAnsi="Times New Roman"/>
          <w:b w:val="0"/>
          <w:sz w:val="24"/>
          <w:szCs w:val="24"/>
        </w:rPr>
        <w:t>, м</w:t>
      </w:r>
      <w:r w:rsidRPr="00B3539E">
        <w:rPr>
          <w:rFonts w:ascii="Times New Roman" w:hAnsi="Times New Roman"/>
          <w:b w:val="0"/>
          <w:sz w:val="24"/>
          <w:szCs w:val="24"/>
        </w:rPr>
        <w:t>етодик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B3539E">
        <w:rPr>
          <w:rFonts w:ascii="Times New Roman" w:hAnsi="Times New Roman"/>
          <w:b w:val="0"/>
          <w:sz w:val="24"/>
          <w:szCs w:val="24"/>
        </w:rPr>
        <w:t xml:space="preserve"> прогнозирования поступлений по источникам финансирования дефицита бюджета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0B5AC0" w:rsidRPr="002A1643" w:rsidRDefault="000B5AC0" w:rsidP="00DA7AB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03B" w:rsidRPr="002A1643" w:rsidRDefault="00C7103B" w:rsidP="00DA7AB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643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DD7261" w:rsidRPr="002A1643" w:rsidRDefault="00D63A9E" w:rsidP="00DD72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EA5727">
        <w:rPr>
          <w:rFonts w:ascii="Times New Roman" w:hAnsi="Times New Roman"/>
          <w:b w:val="0"/>
          <w:sz w:val="24"/>
          <w:szCs w:val="24"/>
        </w:rPr>
        <w:t>По данным приложения</w:t>
      </w:r>
      <w:r w:rsidR="00DD7261" w:rsidRPr="002A1643">
        <w:rPr>
          <w:rFonts w:ascii="Times New Roman" w:hAnsi="Times New Roman"/>
          <w:b w:val="0"/>
          <w:sz w:val="24"/>
          <w:szCs w:val="24"/>
        </w:rPr>
        <w:t xml:space="preserve"> №3 </w:t>
      </w:r>
      <w:r w:rsidR="00EA5727">
        <w:rPr>
          <w:rFonts w:ascii="Times New Roman" w:hAnsi="Times New Roman"/>
          <w:b w:val="0"/>
          <w:sz w:val="24"/>
          <w:szCs w:val="24"/>
        </w:rPr>
        <w:t>к</w:t>
      </w:r>
      <w:r w:rsidR="00DD7261" w:rsidRPr="002A1643">
        <w:rPr>
          <w:rFonts w:ascii="Times New Roman" w:hAnsi="Times New Roman"/>
          <w:b w:val="0"/>
          <w:sz w:val="24"/>
          <w:szCs w:val="24"/>
        </w:rPr>
        <w:t xml:space="preserve"> Проекту «Доходы бюджета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BD247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="00DD7261"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="00DD7261"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DD7261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на 20</w:t>
      </w:r>
      <w:r w:rsidR="00FF2EE0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1</w:t>
      </w:r>
      <w:r w:rsidR="00EA5727">
        <w:rPr>
          <w:rFonts w:ascii="Times New Roman" w:hAnsi="Times New Roman"/>
          <w:b w:val="0"/>
          <w:sz w:val="24"/>
          <w:szCs w:val="24"/>
        </w:rPr>
        <w:t xml:space="preserve"> год и на плановый период 202</w:t>
      </w:r>
      <w:r w:rsidR="007E28A5">
        <w:rPr>
          <w:rFonts w:ascii="Times New Roman" w:hAnsi="Times New Roman"/>
          <w:b w:val="0"/>
          <w:sz w:val="24"/>
          <w:szCs w:val="24"/>
        </w:rPr>
        <w:t>2</w:t>
      </w:r>
      <w:r w:rsidR="00BD247F" w:rsidRPr="002A1643">
        <w:rPr>
          <w:rFonts w:ascii="Times New Roman" w:hAnsi="Times New Roman"/>
          <w:b w:val="0"/>
          <w:sz w:val="24"/>
          <w:szCs w:val="24"/>
        </w:rPr>
        <w:t>-202</w:t>
      </w:r>
      <w:r w:rsidR="007E28A5">
        <w:rPr>
          <w:rFonts w:ascii="Times New Roman" w:hAnsi="Times New Roman"/>
          <w:b w:val="0"/>
          <w:sz w:val="24"/>
          <w:szCs w:val="24"/>
        </w:rPr>
        <w:t>3</w:t>
      </w:r>
      <w:r w:rsidR="00DD7261" w:rsidRPr="002A1643">
        <w:rPr>
          <w:rFonts w:ascii="Times New Roman" w:hAnsi="Times New Roman"/>
          <w:b w:val="0"/>
          <w:sz w:val="24"/>
          <w:szCs w:val="24"/>
        </w:rPr>
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бюджета» доходная часть бюджета  сформирована с  соблюдением статьей 20, 41 ,42 БК РФ.</w:t>
      </w:r>
      <w:proofErr w:type="gramEnd"/>
    </w:p>
    <w:p w:rsidR="00DD7261" w:rsidRPr="002A1643" w:rsidRDefault="00DD7261" w:rsidP="00DD72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Проект бюджета на 20</w:t>
      </w:r>
      <w:r w:rsidR="00FF2EE0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1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год и на плановый период 20</w:t>
      </w:r>
      <w:r w:rsidR="00EA5727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2</w:t>
      </w:r>
      <w:r w:rsidR="00BD247F" w:rsidRPr="002A1643">
        <w:rPr>
          <w:rFonts w:ascii="Times New Roman" w:hAnsi="Times New Roman"/>
          <w:b w:val="0"/>
          <w:sz w:val="24"/>
          <w:szCs w:val="24"/>
        </w:rPr>
        <w:t>-202</w:t>
      </w:r>
      <w:r w:rsidR="007E28A5">
        <w:rPr>
          <w:rFonts w:ascii="Times New Roman" w:hAnsi="Times New Roman"/>
          <w:b w:val="0"/>
          <w:sz w:val="24"/>
          <w:szCs w:val="24"/>
        </w:rPr>
        <w:t>3</w:t>
      </w:r>
      <w:r w:rsidR="00FF2EE0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годов содержит все основные характеристики бюджета и  показатели, предусмотренные статьей 184.1 БК РФ.</w:t>
      </w:r>
    </w:p>
    <w:p w:rsidR="00B202ED" w:rsidRPr="002A1643" w:rsidRDefault="00B202ED" w:rsidP="00B202ED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Прогноз доходов бюджета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BD247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 Самарской области рассчитан исходя из ожидаемых поступлений в 20</w:t>
      </w:r>
      <w:r w:rsidR="007E28A5">
        <w:rPr>
          <w:rFonts w:ascii="Times New Roman" w:hAnsi="Times New Roman"/>
          <w:b w:val="0"/>
          <w:sz w:val="24"/>
          <w:szCs w:val="24"/>
        </w:rPr>
        <w:t>20</w:t>
      </w:r>
      <w:r w:rsidR="00EA5727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году. Для расчета прогнозных показателей  по основным источникам были использованы показатели базового варианта прогноза социально-экономического развития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BD247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области. По ряду неналоговых доходов использованы прогнозы  главных администраторов доходов бюджета.</w:t>
      </w:r>
    </w:p>
    <w:p w:rsidR="009174DE" w:rsidRPr="002A1643" w:rsidRDefault="009174DE" w:rsidP="009174DE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Проектом решения о бюджете предлагается утвердить доходы бюджета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сельского поселения Старое </w:t>
      </w:r>
      <w:proofErr w:type="spellStart"/>
      <w:r w:rsidR="00BD247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E57BFA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на 20</w:t>
      </w:r>
      <w:r w:rsidR="00FF2EE0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1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 в размере  </w:t>
      </w:r>
      <w:r w:rsidR="007E28A5">
        <w:rPr>
          <w:rFonts w:ascii="Times New Roman" w:hAnsi="Times New Roman"/>
          <w:b w:val="0"/>
          <w:sz w:val="24"/>
          <w:szCs w:val="24"/>
        </w:rPr>
        <w:t>6 625,598</w:t>
      </w:r>
      <w:r w:rsidR="00E57BFA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="00EA5727">
        <w:rPr>
          <w:rFonts w:ascii="Times New Roman" w:hAnsi="Times New Roman"/>
          <w:b w:val="0"/>
          <w:sz w:val="24"/>
          <w:szCs w:val="24"/>
        </w:rPr>
        <w:t>тыс. руб., на 202</w:t>
      </w:r>
      <w:r w:rsidR="007E28A5">
        <w:rPr>
          <w:rFonts w:ascii="Times New Roman" w:hAnsi="Times New Roman"/>
          <w:b w:val="0"/>
          <w:sz w:val="24"/>
          <w:szCs w:val="24"/>
        </w:rPr>
        <w:t>2</w:t>
      </w:r>
      <w:r w:rsidR="00E57BFA" w:rsidRPr="002A1643">
        <w:rPr>
          <w:rFonts w:ascii="Times New Roman" w:hAnsi="Times New Roman"/>
          <w:b w:val="0"/>
          <w:sz w:val="24"/>
          <w:szCs w:val="24"/>
        </w:rPr>
        <w:t xml:space="preserve"> год – </w:t>
      </w:r>
      <w:r w:rsidR="007E28A5">
        <w:rPr>
          <w:rFonts w:ascii="Times New Roman" w:hAnsi="Times New Roman"/>
          <w:b w:val="0"/>
          <w:sz w:val="24"/>
          <w:szCs w:val="24"/>
        </w:rPr>
        <w:t>6 561,116</w:t>
      </w:r>
      <w:r w:rsidR="00E57BFA" w:rsidRPr="002A1643">
        <w:rPr>
          <w:rFonts w:ascii="Times New Roman" w:hAnsi="Times New Roman"/>
          <w:b w:val="0"/>
          <w:sz w:val="24"/>
          <w:szCs w:val="24"/>
        </w:rPr>
        <w:t xml:space="preserve"> тыс. руб., 202</w:t>
      </w:r>
      <w:r w:rsidR="007E28A5">
        <w:rPr>
          <w:rFonts w:ascii="Times New Roman" w:hAnsi="Times New Roman"/>
          <w:b w:val="0"/>
          <w:sz w:val="24"/>
          <w:szCs w:val="24"/>
        </w:rPr>
        <w:t>3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 – </w:t>
      </w:r>
      <w:r w:rsidR="00EA5727">
        <w:rPr>
          <w:rFonts w:ascii="Times New Roman" w:hAnsi="Times New Roman"/>
          <w:b w:val="0"/>
          <w:sz w:val="24"/>
          <w:szCs w:val="24"/>
        </w:rPr>
        <w:t>5</w:t>
      </w:r>
      <w:r w:rsidR="007E28A5">
        <w:rPr>
          <w:rFonts w:ascii="Times New Roman" w:hAnsi="Times New Roman"/>
          <w:b w:val="0"/>
          <w:sz w:val="24"/>
          <w:szCs w:val="24"/>
        </w:rPr>
        <w:t> 674,773</w:t>
      </w:r>
      <w:r w:rsidR="00E57BFA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тыс. руб.</w:t>
      </w:r>
    </w:p>
    <w:p w:rsidR="009174DE" w:rsidRPr="002A1643" w:rsidRDefault="009174DE" w:rsidP="009174DE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2268"/>
      </w:tblGrid>
      <w:tr w:rsidR="009174DE" w:rsidRPr="002A1643" w:rsidTr="0083713C">
        <w:tc>
          <w:tcPr>
            <w:tcW w:w="3369" w:type="dxa"/>
          </w:tcPr>
          <w:p w:rsidR="009174DE" w:rsidRPr="002A1643" w:rsidRDefault="009174DE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2409" w:type="dxa"/>
          </w:tcPr>
          <w:p w:rsidR="009174DE" w:rsidRPr="002A1643" w:rsidRDefault="009174DE" w:rsidP="007E28A5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sz w:val="24"/>
                <w:szCs w:val="24"/>
              </w:rPr>
              <w:t>20</w:t>
            </w:r>
            <w:r w:rsidR="007E28A5">
              <w:rPr>
                <w:rFonts w:ascii="Times New Roman" w:hAnsi="Times New Roman"/>
                <w:sz w:val="24"/>
                <w:szCs w:val="24"/>
              </w:rPr>
              <w:t>21</w:t>
            </w:r>
            <w:r w:rsidRPr="002A16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174DE" w:rsidRPr="002A1643" w:rsidRDefault="009174DE" w:rsidP="007E28A5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sz w:val="24"/>
                <w:szCs w:val="24"/>
              </w:rPr>
              <w:t>20</w:t>
            </w:r>
            <w:r w:rsidR="00EA5727">
              <w:rPr>
                <w:rFonts w:ascii="Times New Roman" w:hAnsi="Times New Roman"/>
                <w:sz w:val="24"/>
                <w:szCs w:val="24"/>
              </w:rPr>
              <w:t>2</w:t>
            </w:r>
            <w:r w:rsidR="007E28A5">
              <w:rPr>
                <w:rFonts w:ascii="Times New Roman" w:hAnsi="Times New Roman"/>
                <w:sz w:val="24"/>
                <w:szCs w:val="24"/>
              </w:rPr>
              <w:t>1</w:t>
            </w:r>
            <w:r w:rsidRPr="002A16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174DE" w:rsidRPr="002A1643" w:rsidRDefault="00BD247F" w:rsidP="007E28A5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sz w:val="24"/>
                <w:szCs w:val="24"/>
              </w:rPr>
              <w:t>202</w:t>
            </w:r>
            <w:r w:rsidR="007E28A5">
              <w:rPr>
                <w:rFonts w:ascii="Times New Roman" w:hAnsi="Times New Roman"/>
                <w:sz w:val="24"/>
                <w:szCs w:val="24"/>
              </w:rPr>
              <w:t>2</w:t>
            </w:r>
            <w:r w:rsidR="00EA57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174DE" w:rsidRPr="002A1643" w:rsidTr="0083713C">
        <w:trPr>
          <w:trHeight w:val="641"/>
        </w:trPr>
        <w:tc>
          <w:tcPr>
            <w:tcW w:w="3369" w:type="dxa"/>
          </w:tcPr>
          <w:p w:rsidR="009174DE" w:rsidRPr="002A1643" w:rsidRDefault="009174DE" w:rsidP="0083713C">
            <w:pPr>
              <w:pStyle w:val="ConsPlusTitle"/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b w:val="0"/>
                <w:sz w:val="24"/>
                <w:szCs w:val="24"/>
              </w:rPr>
              <w:t>Налоговые доходы</w:t>
            </w:r>
          </w:p>
        </w:tc>
        <w:tc>
          <w:tcPr>
            <w:tcW w:w="2409" w:type="dxa"/>
          </w:tcPr>
          <w:p w:rsidR="009174DE" w:rsidRPr="002A1643" w:rsidRDefault="007E28A5" w:rsidP="008823A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8823AF">
              <w:rPr>
                <w:rFonts w:ascii="Times New Roman" w:hAnsi="Times New Roman"/>
                <w:b w:val="0"/>
                <w:sz w:val="24"/>
                <w:szCs w:val="24"/>
              </w:rPr>
              <w:t> 384,290</w:t>
            </w:r>
          </w:p>
        </w:tc>
        <w:tc>
          <w:tcPr>
            <w:tcW w:w="2268" w:type="dxa"/>
          </w:tcPr>
          <w:p w:rsidR="009174DE" w:rsidRPr="002A1643" w:rsidRDefault="007E28A5" w:rsidP="008823A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8823AF">
              <w:rPr>
                <w:rFonts w:ascii="Times New Roman" w:hAnsi="Times New Roman"/>
                <w:b w:val="0"/>
                <w:sz w:val="24"/>
                <w:szCs w:val="24"/>
              </w:rPr>
              <w:t> 440,000</w:t>
            </w:r>
          </w:p>
        </w:tc>
        <w:tc>
          <w:tcPr>
            <w:tcW w:w="2268" w:type="dxa"/>
          </w:tcPr>
          <w:p w:rsidR="009174DE" w:rsidRPr="002A1643" w:rsidRDefault="008823AF" w:rsidP="00EA572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1 499,000</w:t>
            </w:r>
          </w:p>
        </w:tc>
      </w:tr>
      <w:tr w:rsidR="009174DE" w:rsidRPr="002A1643" w:rsidTr="0083713C">
        <w:tc>
          <w:tcPr>
            <w:tcW w:w="3369" w:type="dxa"/>
          </w:tcPr>
          <w:p w:rsidR="009174DE" w:rsidRPr="002A1643" w:rsidRDefault="009174DE" w:rsidP="0083713C">
            <w:pPr>
              <w:pStyle w:val="ConsPlusTitle"/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b w:val="0"/>
                <w:sz w:val="24"/>
                <w:szCs w:val="24"/>
              </w:rPr>
              <w:t>Неналоговые доходы</w:t>
            </w:r>
          </w:p>
        </w:tc>
        <w:tc>
          <w:tcPr>
            <w:tcW w:w="2409" w:type="dxa"/>
          </w:tcPr>
          <w:p w:rsidR="009174DE" w:rsidRPr="002A1643" w:rsidRDefault="00FF2EE0" w:rsidP="00EA572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14,456</w:t>
            </w:r>
          </w:p>
        </w:tc>
        <w:tc>
          <w:tcPr>
            <w:tcW w:w="2268" w:type="dxa"/>
          </w:tcPr>
          <w:p w:rsidR="009174DE" w:rsidRPr="002A1643" w:rsidRDefault="00E94E47" w:rsidP="007E28A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14,45</w:t>
            </w:r>
            <w:r w:rsidR="007E28A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74DE" w:rsidRPr="002A1643" w:rsidRDefault="00E94E47" w:rsidP="007E28A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14,45</w:t>
            </w:r>
            <w:r w:rsidR="007E28A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9174DE" w:rsidRPr="002A1643" w:rsidTr="0083713C">
        <w:tc>
          <w:tcPr>
            <w:tcW w:w="3369" w:type="dxa"/>
          </w:tcPr>
          <w:p w:rsidR="009174DE" w:rsidRPr="002A1643" w:rsidRDefault="009174DE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09" w:type="dxa"/>
          </w:tcPr>
          <w:p w:rsidR="009174DE" w:rsidRPr="002A1643" w:rsidRDefault="008823AF" w:rsidP="00EA572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5 226,852</w:t>
            </w:r>
          </w:p>
        </w:tc>
        <w:tc>
          <w:tcPr>
            <w:tcW w:w="2268" w:type="dxa"/>
          </w:tcPr>
          <w:p w:rsidR="009174DE" w:rsidRPr="002A1643" w:rsidRDefault="008823AF" w:rsidP="00EA572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5 106,660</w:t>
            </w:r>
          </w:p>
        </w:tc>
        <w:tc>
          <w:tcPr>
            <w:tcW w:w="2268" w:type="dxa"/>
          </w:tcPr>
          <w:p w:rsidR="009174DE" w:rsidRPr="002A1643" w:rsidRDefault="008823AF" w:rsidP="00EA572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4 161,317</w:t>
            </w:r>
          </w:p>
        </w:tc>
      </w:tr>
      <w:tr w:rsidR="009174DE" w:rsidRPr="002A1643" w:rsidTr="0083713C">
        <w:tc>
          <w:tcPr>
            <w:tcW w:w="3369" w:type="dxa"/>
          </w:tcPr>
          <w:p w:rsidR="009174DE" w:rsidRPr="002A1643" w:rsidRDefault="009174DE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9174DE" w:rsidRPr="002A1643" w:rsidRDefault="008823AF" w:rsidP="00EA5727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6 625,590</w:t>
            </w:r>
          </w:p>
        </w:tc>
        <w:tc>
          <w:tcPr>
            <w:tcW w:w="2268" w:type="dxa"/>
          </w:tcPr>
          <w:p w:rsidR="009174DE" w:rsidRPr="002A1643" w:rsidRDefault="008823AF" w:rsidP="00EA5727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6 561,116</w:t>
            </w:r>
          </w:p>
        </w:tc>
        <w:tc>
          <w:tcPr>
            <w:tcW w:w="2268" w:type="dxa"/>
          </w:tcPr>
          <w:p w:rsidR="009174DE" w:rsidRPr="002A1643" w:rsidRDefault="008823AF" w:rsidP="00E94E47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5 674,773</w:t>
            </w:r>
          </w:p>
        </w:tc>
      </w:tr>
    </w:tbl>
    <w:p w:rsidR="009174DE" w:rsidRPr="002A1643" w:rsidRDefault="009174DE" w:rsidP="009174DE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103B" w:rsidRDefault="00F35B5A" w:rsidP="00C2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    </w:t>
      </w:r>
      <w:r w:rsidR="00C7103B" w:rsidRPr="002A1643">
        <w:rPr>
          <w:rFonts w:ascii="Times New Roman" w:hAnsi="Times New Roman" w:cs="Times New Roman"/>
          <w:sz w:val="24"/>
          <w:szCs w:val="24"/>
        </w:rPr>
        <w:t>Информация о расчетных показателях прогноза по основным источникам налоговых и неналоговых доходов бюджета</w:t>
      </w:r>
      <w:r w:rsidR="00BD247F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="00BD247F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BD247F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7103B" w:rsidRPr="002A164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7103B" w:rsidRPr="002A164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D247F" w:rsidRPr="002A1643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BD247F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="00C7103B" w:rsidRPr="002A1643">
        <w:rPr>
          <w:rFonts w:ascii="Times New Roman" w:hAnsi="Times New Roman" w:cs="Times New Roman"/>
          <w:sz w:val="24"/>
          <w:szCs w:val="24"/>
        </w:rPr>
        <w:t xml:space="preserve"> более подробно изложена в финансово-экономическом обосновании к законопроекту.</w:t>
      </w:r>
    </w:p>
    <w:p w:rsidR="00FC4EDE" w:rsidRDefault="00FC4EDE" w:rsidP="00FC4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92F" w:rsidRPr="002A1643" w:rsidRDefault="00ED592F" w:rsidP="00FC4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B3539E">
        <w:rPr>
          <w:rFonts w:ascii="Times New Roman" w:hAnsi="Times New Roman" w:cs="Times New Roman"/>
          <w:b/>
          <w:sz w:val="24"/>
          <w:szCs w:val="24"/>
        </w:rPr>
        <w:t>асходы</w:t>
      </w:r>
    </w:p>
    <w:p w:rsidR="003101D6" w:rsidRPr="002A1643" w:rsidRDefault="003101D6" w:rsidP="003101D6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3101D6" w:rsidRPr="002A1643" w:rsidRDefault="003101D6" w:rsidP="00F07C09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Объем расходов Проекта бюджета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BD247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на 20</w:t>
      </w:r>
      <w:r w:rsidR="008823AF">
        <w:rPr>
          <w:rFonts w:ascii="Times New Roman" w:hAnsi="Times New Roman"/>
          <w:b w:val="0"/>
          <w:sz w:val="24"/>
          <w:szCs w:val="24"/>
        </w:rPr>
        <w:t>21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 определен в размере </w:t>
      </w:r>
      <w:r w:rsidR="008823AF">
        <w:rPr>
          <w:rFonts w:ascii="Times New Roman" w:hAnsi="Times New Roman"/>
          <w:sz w:val="24"/>
          <w:szCs w:val="24"/>
        </w:rPr>
        <w:t>6 625,598</w:t>
      </w:r>
      <w:r w:rsidR="00F07C09" w:rsidRPr="002A1643">
        <w:rPr>
          <w:rFonts w:ascii="Times New Roman" w:hAnsi="Times New Roman"/>
          <w:sz w:val="24"/>
          <w:szCs w:val="24"/>
        </w:rPr>
        <w:t xml:space="preserve"> </w:t>
      </w:r>
      <w:r w:rsidR="00E222A7" w:rsidRPr="002A1643">
        <w:rPr>
          <w:rFonts w:ascii="Times New Roman" w:hAnsi="Times New Roman"/>
          <w:sz w:val="24"/>
          <w:szCs w:val="24"/>
        </w:rPr>
        <w:t xml:space="preserve"> </w:t>
      </w:r>
      <w:r w:rsidRPr="002A1643">
        <w:rPr>
          <w:rFonts w:ascii="Times New Roman" w:hAnsi="Times New Roman"/>
          <w:sz w:val="24"/>
          <w:szCs w:val="24"/>
        </w:rPr>
        <w:t>тыс. руб</w:t>
      </w:r>
      <w:r w:rsidRPr="002A1643">
        <w:rPr>
          <w:rFonts w:ascii="Times New Roman" w:hAnsi="Times New Roman"/>
          <w:b w:val="0"/>
          <w:sz w:val="24"/>
          <w:szCs w:val="24"/>
        </w:rPr>
        <w:t>.</w:t>
      </w:r>
    </w:p>
    <w:p w:rsidR="003101D6" w:rsidRPr="002A1643" w:rsidRDefault="003101D6" w:rsidP="003101D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   </w:t>
      </w:r>
      <w:r w:rsidRPr="002A1643">
        <w:rPr>
          <w:rFonts w:ascii="Times New Roman" w:hAnsi="Times New Roman" w:cs="Times New Roman"/>
          <w:sz w:val="24"/>
          <w:szCs w:val="24"/>
        </w:rPr>
        <w:tab/>
      </w:r>
      <w:r w:rsidRPr="002A1643">
        <w:rPr>
          <w:rFonts w:ascii="Times New Roman" w:eastAsia="Times New Roman" w:hAnsi="Times New Roman" w:cs="Times New Roman"/>
          <w:sz w:val="24"/>
          <w:szCs w:val="24"/>
        </w:rPr>
        <w:t xml:space="preserve">Структура расходов местного бюджета в разрезе </w:t>
      </w:r>
      <w:proofErr w:type="gramStart"/>
      <w:r w:rsidRPr="002A1643">
        <w:rPr>
          <w:rFonts w:ascii="Times New Roman" w:eastAsia="Times New Roman" w:hAnsi="Times New Roman" w:cs="Times New Roman"/>
          <w:sz w:val="24"/>
          <w:szCs w:val="24"/>
        </w:rPr>
        <w:t>разделов классификации расходов бюджетов бюджетной системы Российской Федерации</w:t>
      </w:r>
      <w:proofErr w:type="gramEnd"/>
      <w:r w:rsidRPr="002A164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823AF">
        <w:rPr>
          <w:rFonts w:ascii="Times New Roman" w:eastAsia="Times New Roman" w:hAnsi="Times New Roman" w:cs="Times New Roman"/>
          <w:sz w:val="24"/>
          <w:szCs w:val="24"/>
        </w:rPr>
        <w:t>2020-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23A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 xml:space="preserve"> годы:</w:t>
      </w:r>
    </w:p>
    <w:p w:rsidR="00AF6EEE" w:rsidRPr="00AF6EEE" w:rsidRDefault="00AF6EEE" w:rsidP="00AF6EEE">
      <w:pPr>
        <w:widowControl w:val="0"/>
        <w:tabs>
          <w:tab w:val="left" w:pos="-30"/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18"/>
        <w:gridCol w:w="1275"/>
        <w:gridCol w:w="1418"/>
        <w:gridCol w:w="283"/>
        <w:gridCol w:w="2268"/>
      </w:tblGrid>
      <w:tr w:rsidR="00AF6EEE" w:rsidRPr="00AF6EEE" w:rsidTr="009B27B1">
        <w:trPr>
          <w:trHeight w:val="3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(план)</w:t>
            </w:r>
            <w:proofErr w:type="gramStart"/>
            <w:r w:rsidRPr="00AF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AF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F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 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</w:t>
            </w:r>
          </w:p>
        </w:tc>
      </w:tr>
      <w:tr w:rsidR="00AF6EEE" w:rsidRPr="00AF6EEE" w:rsidTr="009B27B1">
        <w:trPr>
          <w:trHeight w:val="39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Рост/ снижение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EEE" w:rsidRPr="00AF6EEE" w:rsidTr="009B27B1">
        <w:trPr>
          <w:trHeight w:val="22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EEE" w:rsidRPr="00AF6EEE" w:rsidTr="009B27B1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1 493,149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18,53%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1 568,222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+75,073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23,67%</w:t>
            </w:r>
          </w:p>
        </w:tc>
      </w:tr>
      <w:tr w:rsidR="00AF6EEE" w:rsidRPr="00AF6EEE" w:rsidTr="009B27B1">
        <w:trPr>
          <w:trHeight w:val="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93,850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1,17%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93,850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1,42%</w:t>
            </w:r>
          </w:p>
        </w:tc>
      </w:tr>
      <w:tr w:rsidR="00AF6EEE" w:rsidRPr="00AF6EEE" w:rsidTr="009B27B1">
        <w:trPr>
          <w:trHeight w:val="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59,120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0,73%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59,120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0,89%</w:t>
            </w:r>
          </w:p>
        </w:tc>
      </w:tr>
      <w:tr w:rsidR="00AF6EEE" w:rsidRPr="00AF6EEE" w:rsidTr="009B27B1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2 404,655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29,85%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532,790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- 1 871,865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0,80%</w:t>
            </w:r>
          </w:p>
        </w:tc>
      </w:tr>
      <w:tr w:rsidR="00AF6EEE" w:rsidRPr="00AF6EEE" w:rsidTr="009B27B1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1 014,189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12,60%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1 351,997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+337,808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20,40%</w:t>
            </w:r>
          </w:p>
        </w:tc>
      </w:tr>
      <w:tr w:rsidR="00AF6EEE" w:rsidRPr="00AF6EEE" w:rsidTr="009B27B1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77,168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0,95%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81,489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+4,321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AF6EEE" w:rsidRPr="00AF6EEE" w:rsidTr="009B27B1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2 816,443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34,96%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2 830,205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+13,762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42,71%</w:t>
            </w:r>
          </w:p>
        </w:tc>
      </w:tr>
      <w:tr w:rsidR="00AF6EEE" w:rsidRPr="00AF6EEE" w:rsidTr="009B27B1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96,851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0,12%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107,925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+11,074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0,16%</w:t>
            </w:r>
          </w:p>
        </w:tc>
      </w:tr>
      <w:tr w:rsidR="00AF6EEE" w:rsidRPr="00AF6EEE" w:rsidTr="009B27B1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8 055,425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6 625,598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-180,870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AF6EEE" w:rsidRDefault="00AF6EEE" w:rsidP="00AF6EEE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E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EEE" w:rsidRPr="00AF6EEE" w:rsidRDefault="00AF6EEE" w:rsidP="00AF6EEE">
      <w:pPr>
        <w:widowControl w:val="0"/>
        <w:tabs>
          <w:tab w:val="left" w:pos="-30"/>
          <w:tab w:val="left" w:pos="0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1D6" w:rsidRPr="002A1643" w:rsidRDefault="003101D6" w:rsidP="00EE089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Доля расходов на культуру в общем объеме расходов составят </w:t>
      </w:r>
      <w:r w:rsidR="005C67C7"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 w:rsidR="00C52783">
        <w:rPr>
          <w:rFonts w:ascii="Times New Roman" w:eastAsia="Times New Roman" w:hAnsi="Times New Roman" w:cs="Times New Roman"/>
          <w:spacing w:val="-4"/>
          <w:sz w:val="24"/>
          <w:szCs w:val="24"/>
        </w:rPr>
        <w:t> 8</w:t>
      </w:r>
      <w:r w:rsidR="00AF6EEE">
        <w:rPr>
          <w:rFonts w:ascii="Times New Roman" w:eastAsia="Times New Roman" w:hAnsi="Times New Roman" w:cs="Times New Roman"/>
          <w:spacing w:val="-4"/>
          <w:sz w:val="24"/>
          <w:szCs w:val="24"/>
        </w:rPr>
        <w:t>30</w:t>
      </w:r>
      <w:r w:rsidR="00C52783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AF6EEE">
        <w:rPr>
          <w:rFonts w:ascii="Times New Roman" w:eastAsia="Times New Roman" w:hAnsi="Times New Roman" w:cs="Times New Roman"/>
          <w:spacing w:val="-4"/>
          <w:sz w:val="24"/>
          <w:szCs w:val="24"/>
        </w:rPr>
        <w:t>205</w:t>
      </w:r>
      <w:r w:rsidR="00367369"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тыс. рублей</w:t>
      </w:r>
      <w:proofErr w:type="gramStart"/>
      <w:r w:rsidR="00367369"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proofErr w:type="gramEnd"/>
      <w:r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67369"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или </w:t>
      </w:r>
      <w:r w:rsidR="00AF6E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42,71</w:t>
      </w:r>
      <w:r w:rsidR="00367369"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% .</w:t>
      </w:r>
    </w:p>
    <w:p w:rsidR="00FC4EDE" w:rsidRDefault="00AB2958" w:rsidP="00FC4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6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7761A" w:rsidRPr="002A1643">
        <w:rPr>
          <w:rFonts w:ascii="Times New Roman" w:hAnsi="Times New Roman" w:cs="Times New Roman"/>
          <w:sz w:val="24"/>
          <w:szCs w:val="24"/>
        </w:rPr>
        <w:t xml:space="preserve">  </w:t>
      </w:r>
      <w:r w:rsidR="00976F84" w:rsidRPr="002A164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76F84" w:rsidRPr="00FC4EDE" w:rsidRDefault="00FC4EDE" w:rsidP="00FC4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76F84" w:rsidRPr="002A1643">
        <w:rPr>
          <w:rFonts w:ascii="Times New Roman" w:hAnsi="Times New Roman" w:cs="Times New Roman"/>
          <w:b/>
          <w:sz w:val="24"/>
          <w:szCs w:val="24"/>
        </w:rPr>
        <w:t>1</w:t>
      </w:r>
      <w:r w:rsidR="00976F84" w:rsidRPr="002A1643">
        <w:rPr>
          <w:rFonts w:ascii="Times New Roman" w:hAnsi="Times New Roman" w:cs="Times New Roman"/>
          <w:sz w:val="24"/>
          <w:szCs w:val="24"/>
        </w:rPr>
        <w:t xml:space="preserve">.Проект бюджета внесен Администрацией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976F84" w:rsidRPr="002A1643">
        <w:rPr>
          <w:rFonts w:ascii="Times New Roman" w:hAnsi="Times New Roman" w:cs="Times New Roman"/>
          <w:sz w:val="24"/>
          <w:szCs w:val="24"/>
        </w:rPr>
        <w:t xml:space="preserve"> на рассмотрение в Собрание представителей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976F84" w:rsidRPr="002A1643">
        <w:rPr>
          <w:rFonts w:ascii="Times New Roman" w:hAnsi="Times New Roman" w:cs="Times New Roman"/>
          <w:sz w:val="24"/>
          <w:szCs w:val="24"/>
        </w:rPr>
        <w:t xml:space="preserve"> области и в Контрольно-</w:t>
      </w:r>
      <w:r w:rsidR="005C67C7" w:rsidRPr="002A1643">
        <w:rPr>
          <w:rFonts w:ascii="Times New Roman" w:hAnsi="Times New Roman" w:cs="Times New Roman"/>
          <w:sz w:val="24"/>
          <w:szCs w:val="24"/>
        </w:rPr>
        <w:t>счетную</w:t>
      </w:r>
      <w:r w:rsidR="00976F84" w:rsidRPr="002A1643">
        <w:rPr>
          <w:rFonts w:ascii="Times New Roman" w:hAnsi="Times New Roman" w:cs="Times New Roman"/>
          <w:sz w:val="24"/>
          <w:szCs w:val="24"/>
        </w:rPr>
        <w:t xml:space="preserve"> комиссию муниципального района </w:t>
      </w:r>
      <w:proofErr w:type="spellStart"/>
      <w:r w:rsidR="00976F84" w:rsidRPr="002A164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76F84" w:rsidRPr="002A1643">
        <w:rPr>
          <w:rFonts w:ascii="Times New Roman" w:hAnsi="Times New Roman" w:cs="Times New Roman"/>
          <w:sz w:val="24"/>
          <w:szCs w:val="24"/>
        </w:rPr>
        <w:t xml:space="preserve"> Самарской области  для подготовки заключения по нему, в установленные сроки.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    </w:t>
      </w:r>
      <w:r w:rsidRPr="002A164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A1643">
        <w:rPr>
          <w:rFonts w:ascii="Times New Roman" w:hAnsi="Times New Roman" w:cs="Times New Roman"/>
          <w:sz w:val="24"/>
          <w:szCs w:val="24"/>
        </w:rPr>
        <w:t>. Перечень документов и материалов, представленных одновременно с проектом бюджета, соответствуют требованиям ст. 184.2 БК РФ.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 w:rsidRPr="002A1643">
        <w:rPr>
          <w:rFonts w:ascii="Times New Roman" w:hAnsi="Times New Roman" w:cs="Times New Roman"/>
          <w:sz w:val="24"/>
          <w:szCs w:val="24"/>
        </w:rPr>
        <w:t xml:space="preserve">. Представленный для проведения экспертизы проект бюджета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AF6EEE">
        <w:rPr>
          <w:rFonts w:ascii="Times New Roman" w:hAnsi="Times New Roman" w:cs="Times New Roman"/>
          <w:sz w:val="24"/>
          <w:szCs w:val="24"/>
        </w:rPr>
        <w:t>1</w:t>
      </w:r>
      <w:r w:rsidR="00F7412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F6EEE">
        <w:rPr>
          <w:rFonts w:ascii="Times New Roman" w:hAnsi="Times New Roman" w:cs="Times New Roman"/>
          <w:sz w:val="24"/>
          <w:szCs w:val="24"/>
        </w:rPr>
        <w:t>2</w:t>
      </w:r>
      <w:r w:rsidR="00F7412D">
        <w:rPr>
          <w:rFonts w:ascii="Times New Roman" w:hAnsi="Times New Roman" w:cs="Times New Roman"/>
          <w:sz w:val="24"/>
          <w:szCs w:val="24"/>
        </w:rPr>
        <w:t xml:space="preserve"> и 202</w:t>
      </w:r>
      <w:r w:rsidR="00AF6EEE">
        <w:rPr>
          <w:rFonts w:ascii="Times New Roman" w:hAnsi="Times New Roman" w:cs="Times New Roman"/>
          <w:sz w:val="24"/>
          <w:szCs w:val="24"/>
        </w:rPr>
        <w:t>3</w:t>
      </w:r>
      <w:r w:rsidR="00F7412D">
        <w:rPr>
          <w:rFonts w:ascii="Times New Roman" w:hAnsi="Times New Roman" w:cs="Times New Roman"/>
          <w:sz w:val="24"/>
          <w:szCs w:val="24"/>
        </w:rPr>
        <w:t xml:space="preserve"> г</w:t>
      </w:r>
      <w:r w:rsidRPr="002A1643">
        <w:rPr>
          <w:rFonts w:ascii="Times New Roman" w:hAnsi="Times New Roman" w:cs="Times New Roman"/>
          <w:sz w:val="24"/>
          <w:szCs w:val="24"/>
        </w:rPr>
        <w:t>одов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4.</w:t>
      </w:r>
      <w:r w:rsidRPr="002A1643">
        <w:rPr>
          <w:rFonts w:ascii="Times New Roman" w:hAnsi="Times New Roman" w:cs="Times New Roman"/>
          <w:sz w:val="24"/>
          <w:szCs w:val="24"/>
        </w:rPr>
        <w:t xml:space="preserve"> Требования ст. 169, ст. 172 БК РФ при составлении проекта бюджета соблюдены.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A1643">
        <w:rPr>
          <w:rFonts w:ascii="Times New Roman" w:hAnsi="Times New Roman" w:cs="Times New Roman"/>
          <w:b/>
          <w:sz w:val="24"/>
          <w:szCs w:val="24"/>
        </w:rPr>
        <w:t>5.</w:t>
      </w:r>
      <w:r w:rsidRPr="002A1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643">
        <w:rPr>
          <w:rFonts w:ascii="Times New Roman" w:hAnsi="Times New Roman" w:cs="Times New Roman"/>
          <w:sz w:val="24"/>
          <w:szCs w:val="24"/>
        </w:rPr>
        <w:t xml:space="preserve">В соответствии с п. 3 ст. 173 БК  РФ прогноз социально-экономического развития одобрен Главой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2A1643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 xml:space="preserve">области  от </w:t>
      </w:r>
      <w:r w:rsidR="005C67C7" w:rsidRPr="002A1643">
        <w:rPr>
          <w:rFonts w:ascii="Times New Roman" w:hAnsi="Times New Roman" w:cs="Times New Roman"/>
          <w:sz w:val="24"/>
          <w:szCs w:val="24"/>
        </w:rPr>
        <w:t>14</w:t>
      </w:r>
      <w:r w:rsidRPr="002A1643">
        <w:rPr>
          <w:rFonts w:ascii="Times New Roman" w:hAnsi="Times New Roman" w:cs="Times New Roman"/>
          <w:sz w:val="24"/>
          <w:szCs w:val="24"/>
        </w:rPr>
        <w:t>.11.201</w:t>
      </w:r>
      <w:r w:rsidR="003436B8">
        <w:rPr>
          <w:rFonts w:ascii="Times New Roman" w:hAnsi="Times New Roman" w:cs="Times New Roman"/>
          <w:sz w:val="24"/>
          <w:szCs w:val="24"/>
        </w:rPr>
        <w:t>8</w:t>
      </w:r>
      <w:r w:rsidRPr="002A1643">
        <w:rPr>
          <w:rFonts w:ascii="Times New Roman" w:hAnsi="Times New Roman" w:cs="Times New Roman"/>
          <w:sz w:val="24"/>
          <w:szCs w:val="24"/>
        </w:rPr>
        <w:t>г. №</w:t>
      </w:r>
      <w:r w:rsidR="00F7412D">
        <w:rPr>
          <w:rFonts w:ascii="Times New Roman" w:hAnsi="Times New Roman" w:cs="Times New Roman"/>
          <w:sz w:val="24"/>
          <w:szCs w:val="24"/>
        </w:rPr>
        <w:t xml:space="preserve"> 49</w:t>
      </w:r>
      <w:r w:rsidRPr="002A1643">
        <w:rPr>
          <w:rFonts w:ascii="Times New Roman" w:hAnsi="Times New Roman" w:cs="Times New Roman"/>
          <w:sz w:val="24"/>
          <w:szCs w:val="24"/>
        </w:rPr>
        <w:t xml:space="preserve"> «О внесении проекта бюджета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AF6EEE">
        <w:rPr>
          <w:rFonts w:ascii="Times New Roman" w:hAnsi="Times New Roman" w:cs="Times New Roman"/>
          <w:sz w:val="24"/>
          <w:szCs w:val="24"/>
        </w:rPr>
        <w:t>1</w:t>
      </w:r>
      <w:r w:rsidR="003436B8">
        <w:rPr>
          <w:rFonts w:ascii="Times New Roman" w:hAnsi="Times New Roman" w:cs="Times New Roman"/>
          <w:sz w:val="24"/>
          <w:szCs w:val="24"/>
        </w:rPr>
        <w:t xml:space="preserve"> год и на  плановый период 202</w:t>
      </w:r>
      <w:r w:rsidR="00AF6EEE">
        <w:rPr>
          <w:rFonts w:ascii="Times New Roman" w:hAnsi="Times New Roman" w:cs="Times New Roman"/>
          <w:sz w:val="24"/>
          <w:szCs w:val="24"/>
        </w:rPr>
        <w:t>2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D5B" w:rsidRPr="002A1643">
        <w:rPr>
          <w:rFonts w:ascii="Times New Roman" w:hAnsi="Times New Roman" w:cs="Times New Roman"/>
          <w:sz w:val="24"/>
          <w:szCs w:val="24"/>
        </w:rPr>
        <w:t>202</w:t>
      </w:r>
      <w:r w:rsidR="00AF6EEE">
        <w:rPr>
          <w:rFonts w:ascii="Times New Roman" w:hAnsi="Times New Roman" w:cs="Times New Roman"/>
          <w:sz w:val="24"/>
          <w:szCs w:val="24"/>
        </w:rPr>
        <w:t>3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 xml:space="preserve">годов на рассмотрение в Собрание представителей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 xml:space="preserve">области и о публичных слушаниях проекта бюджета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>области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AF6EEE">
        <w:rPr>
          <w:rFonts w:ascii="Times New Roman" w:hAnsi="Times New Roman" w:cs="Times New Roman"/>
          <w:sz w:val="24"/>
          <w:szCs w:val="24"/>
        </w:rPr>
        <w:t>1</w:t>
      </w:r>
      <w:r w:rsidR="003436B8">
        <w:rPr>
          <w:rFonts w:ascii="Times New Roman" w:hAnsi="Times New Roman" w:cs="Times New Roman"/>
          <w:sz w:val="24"/>
          <w:szCs w:val="24"/>
        </w:rPr>
        <w:t xml:space="preserve"> год и на плановый  период 202</w:t>
      </w:r>
      <w:r w:rsidR="00AF6EEE">
        <w:rPr>
          <w:rFonts w:ascii="Times New Roman" w:hAnsi="Times New Roman" w:cs="Times New Roman"/>
          <w:sz w:val="24"/>
          <w:szCs w:val="24"/>
        </w:rPr>
        <w:t xml:space="preserve">2 </w:t>
      </w:r>
      <w:r w:rsidR="00C57D5B" w:rsidRPr="002A1643">
        <w:rPr>
          <w:rFonts w:ascii="Times New Roman" w:hAnsi="Times New Roman" w:cs="Times New Roman"/>
          <w:sz w:val="24"/>
          <w:szCs w:val="24"/>
        </w:rPr>
        <w:t>и 202</w:t>
      </w:r>
      <w:r w:rsidR="00AF6EEE">
        <w:rPr>
          <w:rFonts w:ascii="Times New Roman" w:hAnsi="Times New Roman" w:cs="Times New Roman"/>
          <w:sz w:val="24"/>
          <w:szCs w:val="24"/>
        </w:rPr>
        <w:t>3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>годов»).</w:t>
      </w:r>
      <w:proofErr w:type="gramEnd"/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6.</w:t>
      </w:r>
      <w:r w:rsidRPr="002A1643">
        <w:rPr>
          <w:rFonts w:ascii="Times New Roman" w:hAnsi="Times New Roman" w:cs="Times New Roman"/>
          <w:sz w:val="24"/>
          <w:szCs w:val="24"/>
        </w:rPr>
        <w:t xml:space="preserve">  Требования п. 1 ст. 173 БК РФ, в части составления прогноза социально-экономического развития </w:t>
      </w:r>
      <w:r w:rsidR="00C57D5B" w:rsidRPr="002A16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1643">
        <w:rPr>
          <w:rFonts w:ascii="Times New Roman" w:hAnsi="Times New Roman" w:cs="Times New Roman"/>
          <w:sz w:val="24"/>
          <w:szCs w:val="24"/>
        </w:rPr>
        <w:t xml:space="preserve">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AF6EEE">
        <w:rPr>
          <w:rFonts w:ascii="Times New Roman" w:hAnsi="Times New Roman" w:cs="Times New Roman"/>
          <w:sz w:val="24"/>
          <w:szCs w:val="24"/>
        </w:rPr>
        <w:t>1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год и  плановый период  до 202</w:t>
      </w:r>
      <w:r w:rsidR="00AF6EEE">
        <w:rPr>
          <w:rFonts w:ascii="Times New Roman" w:hAnsi="Times New Roman" w:cs="Times New Roman"/>
          <w:sz w:val="24"/>
          <w:szCs w:val="24"/>
        </w:rPr>
        <w:t>3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>года на период не менее  трех лет соблюдены.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7.</w:t>
      </w:r>
      <w:r w:rsidRPr="002A1643">
        <w:rPr>
          <w:rFonts w:ascii="Times New Roman" w:hAnsi="Times New Roman" w:cs="Times New Roman"/>
          <w:sz w:val="24"/>
          <w:szCs w:val="24"/>
        </w:rPr>
        <w:t xml:space="preserve">  В соответствии со ст. 33 БК РФ при составлении проекта бюджета  соблюден принцип сбалансированности бюджета.</w:t>
      </w:r>
    </w:p>
    <w:p w:rsidR="00976F84" w:rsidRPr="002A1643" w:rsidRDefault="00976F84" w:rsidP="00976F8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sz w:val="24"/>
          <w:szCs w:val="24"/>
        </w:rPr>
        <w:t xml:space="preserve">     8. </w:t>
      </w:r>
      <w:proofErr w:type="gramStart"/>
      <w:r w:rsidRPr="002A1643">
        <w:rPr>
          <w:rFonts w:ascii="Times New Roman" w:hAnsi="Times New Roman"/>
          <w:b w:val="0"/>
          <w:sz w:val="24"/>
          <w:szCs w:val="24"/>
        </w:rPr>
        <w:t xml:space="preserve">В целях соблюдения принципов открытости и гласности в соответствии со ст. 36 БК РФ и п.  6 ст. 52 Федерального закона от 06.10.2003г. №131-ФЗ «Об общих принципах организации местного самоуправления в РФ», проект бюджета с приложениями размещен в средствах массовой информации: на сайте  Администрации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  </w:t>
      </w:r>
      <w:r w:rsidRPr="002A1643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2A1643">
          <w:rPr>
            <w:rStyle w:val="a8"/>
            <w:rFonts w:ascii="Times New Roman" w:hAnsi="Times New Roman"/>
            <w:b w:val="0"/>
            <w:sz w:val="24"/>
            <w:szCs w:val="24"/>
          </w:rPr>
          <w:t>http://klvadm.ru</w:t>
        </w:r>
      </w:hyperlink>
      <w:r w:rsidRPr="002A1643">
        <w:rPr>
          <w:rFonts w:ascii="Times New Roman" w:hAnsi="Times New Roman"/>
          <w:b w:val="0"/>
          <w:sz w:val="24"/>
          <w:szCs w:val="24"/>
        </w:rPr>
        <w:t xml:space="preserve">  в разделе  «Бюджет для граждан».</w:t>
      </w:r>
      <w:proofErr w:type="gramEnd"/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 9. </w:t>
      </w:r>
      <w:r w:rsidRPr="002A1643">
        <w:rPr>
          <w:rFonts w:ascii="Times New Roman" w:hAnsi="Times New Roman" w:cs="Times New Roman"/>
          <w:sz w:val="24"/>
          <w:szCs w:val="24"/>
        </w:rPr>
        <w:t xml:space="preserve">В соответствии со ст.174.1 БК РФ доходы бюджета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спрогнозированы на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 xml:space="preserve">основе прогноза социально-экономического развития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>области.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3">
        <w:rPr>
          <w:rFonts w:ascii="Times New Roman" w:hAnsi="Times New Roman" w:cs="Times New Roman"/>
          <w:b/>
          <w:sz w:val="24"/>
          <w:szCs w:val="24"/>
        </w:rPr>
        <w:t>10.</w:t>
      </w:r>
      <w:r w:rsidRPr="002A1643">
        <w:rPr>
          <w:rFonts w:ascii="Times New Roman" w:hAnsi="Times New Roman" w:cs="Times New Roman"/>
          <w:sz w:val="24"/>
          <w:szCs w:val="24"/>
        </w:rPr>
        <w:t xml:space="preserve"> Расходы, отраженные в  Проекте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3">
        <w:rPr>
          <w:rFonts w:ascii="Times New Roman" w:hAnsi="Times New Roman" w:cs="Times New Roman"/>
          <w:b/>
          <w:sz w:val="24"/>
          <w:szCs w:val="24"/>
        </w:rPr>
        <w:t>11.</w:t>
      </w:r>
      <w:r w:rsidRPr="002A1643">
        <w:rPr>
          <w:rFonts w:ascii="Times New Roman" w:hAnsi="Times New Roman" w:cs="Times New Roman"/>
          <w:sz w:val="24"/>
          <w:szCs w:val="24"/>
        </w:rPr>
        <w:t xml:space="preserve">  Установленный проектом резервный фонд администрации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AF6EEE">
        <w:rPr>
          <w:rFonts w:ascii="Times New Roman" w:hAnsi="Times New Roman" w:cs="Times New Roman"/>
          <w:sz w:val="24"/>
          <w:szCs w:val="24"/>
        </w:rPr>
        <w:t>1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AF6EEE">
        <w:rPr>
          <w:rFonts w:ascii="Times New Roman" w:hAnsi="Times New Roman" w:cs="Times New Roman"/>
          <w:sz w:val="24"/>
          <w:szCs w:val="24"/>
        </w:rPr>
        <w:t>4</w:t>
      </w:r>
      <w:r w:rsidR="00C52783">
        <w:rPr>
          <w:rFonts w:ascii="Times New Roman" w:hAnsi="Times New Roman" w:cs="Times New Roman"/>
          <w:sz w:val="24"/>
          <w:szCs w:val="24"/>
        </w:rPr>
        <w:t>0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="003436B8">
        <w:rPr>
          <w:rFonts w:ascii="Times New Roman" w:hAnsi="Times New Roman" w:cs="Times New Roman"/>
          <w:sz w:val="24"/>
          <w:szCs w:val="24"/>
        </w:rPr>
        <w:t>тыс. рублей,  на 202</w:t>
      </w:r>
      <w:r w:rsidR="00AF6EEE">
        <w:rPr>
          <w:rFonts w:ascii="Times New Roman" w:hAnsi="Times New Roman" w:cs="Times New Roman"/>
          <w:sz w:val="24"/>
          <w:szCs w:val="24"/>
        </w:rPr>
        <w:t>2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AF6EEE">
        <w:rPr>
          <w:rFonts w:ascii="Times New Roman" w:hAnsi="Times New Roman" w:cs="Times New Roman"/>
          <w:sz w:val="24"/>
          <w:szCs w:val="24"/>
        </w:rPr>
        <w:t>15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AF6EEE">
        <w:rPr>
          <w:rFonts w:ascii="Times New Roman" w:hAnsi="Times New Roman" w:cs="Times New Roman"/>
          <w:sz w:val="24"/>
          <w:szCs w:val="24"/>
        </w:rPr>
        <w:t>3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AF6EEE">
        <w:rPr>
          <w:rFonts w:ascii="Times New Roman" w:hAnsi="Times New Roman" w:cs="Times New Roman"/>
          <w:sz w:val="24"/>
          <w:szCs w:val="24"/>
        </w:rPr>
        <w:t>15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>тыс. рублей не превышает 3% общего объема расходов, что соответствует ст. 81 БК РФ.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 12.</w:t>
      </w:r>
      <w:r w:rsidRPr="002A16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1643">
        <w:rPr>
          <w:rFonts w:ascii="Times New Roman" w:hAnsi="Times New Roman" w:cs="Times New Roman"/>
          <w:sz w:val="24"/>
          <w:szCs w:val="24"/>
        </w:rPr>
        <w:t>Установленные проектом, условно утв</w:t>
      </w:r>
      <w:r w:rsidR="003436B8">
        <w:rPr>
          <w:rFonts w:ascii="Times New Roman" w:hAnsi="Times New Roman" w:cs="Times New Roman"/>
          <w:sz w:val="24"/>
          <w:szCs w:val="24"/>
        </w:rPr>
        <w:t>ерждаемые расходы бюджета на 202</w:t>
      </w:r>
      <w:r w:rsidR="00FC4EDE">
        <w:rPr>
          <w:rFonts w:ascii="Times New Roman" w:hAnsi="Times New Roman" w:cs="Times New Roman"/>
          <w:sz w:val="24"/>
          <w:szCs w:val="24"/>
        </w:rPr>
        <w:t>2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 в размере  </w:t>
      </w:r>
      <w:r w:rsidR="00FC4EDE">
        <w:rPr>
          <w:rFonts w:ascii="Times New Roman" w:hAnsi="Times New Roman" w:cs="Times New Roman"/>
          <w:sz w:val="24"/>
          <w:szCs w:val="24"/>
        </w:rPr>
        <w:t>139,879</w:t>
      </w:r>
      <w:r w:rsidR="00124E6F" w:rsidRPr="002A1643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FC4EDE">
        <w:rPr>
          <w:rFonts w:ascii="Times New Roman" w:hAnsi="Times New Roman" w:cs="Times New Roman"/>
          <w:sz w:val="24"/>
          <w:szCs w:val="24"/>
        </w:rPr>
        <w:t>3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FC4EDE">
        <w:rPr>
          <w:rFonts w:ascii="Times New Roman" w:hAnsi="Times New Roman" w:cs="Times New Roman"/>
          <w:sz w:val="24"/>
          <w:szCs w:val="24"/>
        </w:rPr>
        <w:t>270,227</w:t>
      </w:r>
      <w:r w:rsidR="00124E6F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="00124E6F" w:rsidRPr="002A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24E6F" w:rsidRPr="002A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124E6F" w:rsidRPr="002A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2,5%  и 5%</w:t>
      </w:r>
      <w:r w:rsidR="00124E6F" w:rsidRPr="002A16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25FD3" w:rsidRPr="002A16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36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436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тветственно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</w:t>
      </w:r>
      <w:r w:rsidRPr="002A1643">
        <w:rPr>
          <w:rFonts w:ascii="Times New Roman" w:hAnsi="Times New Roman" w:cs="Times New Roman"/>
          <w:sz w:val="24"/>
          <w:szCs w:val="24"/>
        </w:rPr>
        <w:t xml:space="preserve"> что соответствует ст. 184.1 БК РФ.</w:t>
      </w:r>
      <w:proofErr w:type="gramEnd"/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 13.</w:t>
      </w:r>
      <w:r w:rsidRPr="002A1643">
        <w:rPr>
          <w:rFonts w:ascii="Times New Roman" w:hAnsi="Times New Roman" w:cs="Times New Roman"/>
          <w:sz w:val="24"/>
          <w:szCs w:val="24"/>
        </w:rPr>
        <w:t xml:space="preserve"> В соответствии с ч.2 ст. 179 БК РФ Проектом предусмотрено утверждение объема  бюджетных ассигнований на финансовое обеспечение муниципальных программ.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 14. </w:t>
      </w:r>
      <w:r w:rsidRPr="002A1643">
        <w:rPr>
          <w:rFonts w:ascii="Times New Roman" w:hAnsi="Times New Roman" w:cs="Times New Roman"/>
          <w:sz w:val="24"/>
          <w:szCs w:val="24"/>
        </w:rPr>
        <w:t>При проверке текстовых статей Проекта нарушений не установлено.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A1643">
        <w:rPr>
          <w:rFonts w:ascii="Times New Roman" w:hAnsi="Times New Roman" w:cs="Times New Roman"/>
          <w:sz w:val="24"/>
          <w:szCs w:val="24"/>
        </w:rPr>
        <w:t xml:space="preserve">Рассмотрев  проект Решения «О бюджете </w:t>
      </w:r>
      <w:r w:rsidR="00E34ADD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Самарской области </w:t>
      </w:r>
      <w:r w:rsidRPr="002A1643">
        <w:rPr>
          <w:rFonts w:ascii="Times New Roman" w:hAnsi="Times New Roman" w:cs="Times New Roman"/>
          <w:sz w:val="24"/>
          <w:szCs w:val="24"/>
        </w:rPr>
        <w:t>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FC4EDE">
        <w:rPr>
          <w:rFonts w:ascii="Times New Roman" w:hAnsi="Times New Roman" w:cs="Times New Roman"/>
          <w:sz w:val="24"/>
          <w:szCs w:val="24"/>
        </w:rPr>
        <w:t>1</w:t>
      </w:r>
      <w:r w:rsidR="003436B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C4EDE">
        <w:rPr>
          <w:rFonts w:ascii="Times New Roman" w:hAnsi="Times New Roman" w:cs="Times New Roman"/>
          <w:sz w:val="24"/>
          <w:szCs w:val="24"/>
        </w:rPr>
        <w:t>2</w:t>
      </w:r>
      <w:r w:rsidR="00E34ADD" w:rsidRPr="002A1643">
        <w:rPr>
          <w:rFonts w:ascii="Times New Roman" w:hAnsi="Times New Roman" w:cs="Times New Roman"/>
          <w:sz w:val="24"/>
          <w:szCs w:val="24"/>
        </w:rPr>
        <w:t xml:space="preserve"> и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FC4EDE">
        <w:rPr>
          <w:rFonts w:ascii="Times New Roman" w:hAnsi="Times New Roman" w:cs="Times New Roman"/>
          <w:sz w:val="24"/>
          <w:szCs w:val="24"/>
        </w:rPr>
        <w:t>3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годов» Контрольно-</w:t>
      </w:r>
      <w:r w:rsidR="00124E6F" w:rsidRPr="002A1643">
        <w:rPr>
          <w:rFonts w:ascii="Times New Roman" w:hAnsi="Times New Roman" w:cs="Times New Roman"/>
          <w:sz w:val="24"/>
          <w:szCs w:val="24"/>
        </w:rPr>
        <w:t>счетная</w:t>
      </w:r>
      <w:r w:rsidRPr="002A1643">
        <w:rPr>
          <w:rFonts w:ascii="Times New Roman" w:hAnsi="Times New Roman" w:cs="Times New Roman"/>
          <w:sz w:val="24"/>
          <w:szCs w:val="24"/>
        </w:rPr>
        <w:t xml:space="preserve"> комиссия муниципального района </w:t>
      </w:r>
      <w:proofErr w:type="spellStart"/>
      <w:r w:rsidRPr="002A164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 w:cs="Times New Roman"/>
          <w:sz w:val="24"/>
          <w:szCs w:val="24"/>
        </w:rPr>
        <w:t xml:space="preserve">  сделала следующее заключение:</w:t>
      </w:r>
    </w:p>
    <w:p w:rsidR="00976F84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Одобрить основные параметры проекта Решения «О бюджете </w:t>
      </w:r>
      <w:r w:rsidR="00E34ADD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FC4EDE">
        <w:rPr>
          <w:rFonts w:ascii="Times New Roman" w:hAnsi="Times New Roman" w:cs="Times New Roman"/>
          <w:sz w:val="24"/>
          <w:szCs w:val="24"/>
        </w:rPr>
        <w:t>1</w:t>
      </w:r>
      <w:r w:rsidR="003436B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C4EDE">
        <w:rPr>
          <w:rFonts w:ascii="Times New Roman" w:hAnsi="Times New Roman" w:cs="Times New Roman"/>
          <w:sz w:val="24"/>
          <w:szCs w:val="24"/>
        </w:rPr>
        <w:t>2</w:t>
      </w:r>
      <w:r w:rsidR="00E34ADD" w:rsidRPr="002A1643">
        <w:rPr>
          <w:rFonts w:ascii="Times New Roman" w:hAnsi="Times New Roman" w:cs="Times New Roman"/>
          <w:sz w:val="24"/>
          <w:szCs w:val="24"/>
        </w:rPr>
        <w:t>-202</w:t>
      </w:r>
      <w:r w:rsidR="00FC4EDE">
        <w:rPr>
          <w:rFonts w:ascii="Times New Roman" w:hAnsi="Times New Roman" w:cs="Times New Roman"/>
          <w:sz w:val="24"/>
          <w:szCs w:val="24"/>
        </w:rPr>
        <w:t>3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C4EDE" w:rsidRDefault="00FC4EDE" w:rsidP="00FC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DE" w:rsidRDefault="00FC4EDE" w:rsidP="00FC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DE" w:rsidRDefault="00FC4EDE" w:rsidP="00FC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DE" w:rsidRPr="00FC4EDE" w:rsidRDefault="00FC4EDE" w:rsidP="00FC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lastRenderedPageBreak/>
        <w:t xml:space="preserve">Вынести данный проект Решения «О бюджете </w:t>
      </w:r>
      <w:r w:rsidR="00E34ADD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FC4EDE">
        <w:rPr>
          <w:rFonts w:ascii="Times New Roman" w:hAnsi="Times New Roman" w:cs="Times New Roman"/>
          <w:sz w:val="24"/>
          <w:szCs w:val="24"/>
        </w:rPr>
        <w:t>1</w:t>
      </w:r>
      <w:r w:rsidR="003436B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C4EDE">
        <w:rPr>
          <w:rFonts w:ascii="Times New Roman" w:hAnsi="Times New Roman" w:cs="Times New Roman"/>
          <w:sz w:val="24"/>
          <w:szCs w:val="24"/>
        </w:rPr>
        <w:t>2</w:t>
      </w:r>
      <w:r w:rsidR="00E34ADD" w:rsidRPr="002A1643">
        <w:rPr>
          <w:rFonts w:ascii="Times New Roman" w:hAnsi="Times New Roman" w:cs="Times New Roman"/>
          <w:sz w:val="24"/>
          <w:szCs w:val="24"/>
        </w:rPr>
        <w:t>-202</w:t>
      </w:r>
      <w:r w:rsidR="00FC4EDE">
        <w:rPr>
          <w:rFonts w:ascii="Times New Roman" w:hAnsi="Times New Roman" w:cs="Times New Roman"/>
          <w:sz w:val="24"/>
          <w:szCs w:val="24"/>
        </w:rPr>
        <w:t>3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годов» на рассмотрение Собрания представителей  для его принятия в первом чтении и рекомендовать Собранию представителей </w:t>
      </w:r>
      <w:r w:rsidR="00E34ADD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2A1643">
        <w:rPr>
          <w:rFonts w:ascii="Times New Roman" w:hAnsi="Times New Roman" w:cs="Times New Roman"/>
          <w:sz w:val="24"/>
          <w:szCs w:val="24"/>
        </w:rPr>
        <w:t xml:space="preserve"> его принять.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gramStart"/>
      <w:r w:rsidRPr="002A1643">
        <w:rPr>
          <w:rFonts w:ascii="Times New Roman" w:hAnsi="Times New Roman" w:cs="Times New Roman"/>
          <w:sz w:val="24"/>
          <w:szCs w:val="24"/>
        </w:rPr>
        <w:t>Контрольно-</w:t>
      </w:r>
      <w:r w:rsidR="00124E6F" w:rsidRPr="002A1643">
        <w:rPr>
          <w:rFonts w:ascii="Times New Roman" w:hAnsi="Times New Roman" w:cs="Times New Roman"/>
          <w:sz w:val="24"/>
          <w:szCs w:val="24"/>
        </w:rPr>
        <w:t>счетной</w:t>
      </w:r>
      <w:proofErr w:type="gramEnd"/>
      <w:r w:rsidRPr="002A1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комиссии муниципального района </w:t>
      </w:r>
      <w:proofErr w:type="spellStart"/>
      <w:r w:rsidRPr="002A164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 w:cs="Times New Roman"/>
          <w:sz w:val="24"/>
          <w:szCs w:val="24"/>
        </w:rPr>
        <w:t>:</w:t>
      </w:r>
      <w:r w:rsidR="00124E6F" w:rsidRPr="002A1643">
        <w:rPr>
          <w:rFonts w:ascii="Times New Roman" w:hAnsi="Times New Roman" w:cs="Times New Roman"/>
          <w:sz w:val="24"/>
          <w:szCs w:val="24"/>
        </w:rPr>
        <w:t xml:space="preserve">                                      Акимова С.Г.</w:t>
      </w:r>
    </w:p>
    <w:p w:rsidR="00124E6F" w:rsidRPr="002A1643" w:rsidRDefault="00124E6F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6F" w:rsidRPr="002A1643" w:rsidRDefault="00124E6F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6F" w:rsidRPr="002A1643" w:rsidRDefault="00124E6F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6F" w:rsidRPr="002A1643" w:rsidRDefault="00124E6F" w:rsidP="001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4E6F" w:rsidRPr="002A1643" w:rsidRDefault="00681E23" w:rsidP="001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24E6F" w:rsidRPr="002A1643">
        <w:rPr>
          <w:rFonts w:ascii="Times New Roman" w:hAnsi="Times New Roman" w:cs="Times New Roman"/>
          <w:sz w:val="24"/>
          <w:szCs w:val="24"/>
        </w:rPr>
        <w:t>Кожевникова Н.И.</w:t>
      </w:r>
    </w:p>
    <w:p w:rsidR="00124E6F" w:rsidRPr="002A1643" w:rsidRDefault="00681E23" w:rsidP="001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C4EDE">
        <w:rPr>
          <w:rFonts w:ascii="Times New Roman" w:hAnsi="Times New Roman" w:cs="Times New Roman"/>
          <w:sz w:val="24"/>
          <w:szCs w:val="24"/>
        </w:rPr>
        <w:t>Кондрашкин А.А.</w:t>
      </w:r>
    </w:p>
    <w:p w:rsidR="00124E6F" w:rsidRPr="002A1643" w:rsidRDefault="00681E23" w:rsidP="001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FC4EDE">
        <w:rPr>
          <w:rFonts w:ascii="Times New Roman" w:hAnsi="Times New Roman" w:cs="Times New Roman"/>
          <w:sz w:val="24"/>
          <w:szCs w:val="24"/>
        </w:rPr>
        <w:t>Торохтиенко</w:t>
      </w:r>
      <w:proofErr w:type="spellEnd"/>
      <w:r w:rsidR="00FC4EDE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18C" w:rsidRPr="002A1643" w:rsidRDefault="00B7318C" w:rsidP="00976F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142" w:rsidRPr="002A1643" w:rsidRDefault="003C5142" w:rsidP="003C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142" w:rsidRPr="002A1643" w:rsidSect="00FC4EDE">
      <w:headerReference w:type="default" r:id="rId11"/>
      <w:headerReference w:type="first" r:id="rId12"/>
      <w:pgSz w:w="11906" w:h="16838"/>
      <w:pgMar w:top="284" w:right="851" w:bottom="73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2E" w:rsidRDefault="00DD182E" w:rsidP="00864BCD">
      <w:pPr>
        <w:spacing w:after="0" w:line="240" w:lineRule="auto"/>
      </w:pPr>
      <w:r>
        <w:separator/>
      </w:r>
    </w:p>
  </w:endnote>
  <w:endnote w:type="continuationSeparator" w:id="0">
    <w:p w:rsidR="00DD182E" w:rsidRDefault="00DD182E" w:rsidP="0086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2E" w:rsidRDefault="00DD182E" w:rsidP="00864BCD">
      <w:pPr>
        <w:spacing w:after="0" w:line="240" w:lineRule="auto"/>
      </w:pPr>
      <w:r>
        <w:separator/>
      </w:r>
    </w:p>
  </w:footnote>
  <w:footnote w:type="continuationSeparator" w:id="0">
    <w:p w:rsidR="00DD182E" w:rsidRDefault="00DD182E" w:rsidP="0086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0" w:rsidRDefault="000174BC" w:rsidP="00DB36CD">
    <w:pPr>
      <w:pStyle w:val="a3"/>
      <w:jc w:val="center"/>
    </w:pPr>
    <w:r>
      <w:fldChar w:fldCharType="begin"/>
    </w:r>
    <w:r w:rsidR="00E20779">
      <w:instrText xml:space="preserve">page  </w:instrText>
    </w:r>
    <w:r>
      <w:fldChar w:fldCharType="separate"/>
    </w:r>
    <w:r w:rsidR="009F0069">
      <w:rPr>
        <w:noProof/>
      </w:rPr>
      <w:t>2</w:t>
    </w:r>
    <w:r>
      <w:fldChar w:fldCharType="end"/>
    </w:r>
  </w:p>
  <w:p w:rsidR="009A55F0" w:rsidRDefault="00DD18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0" w:rsidRDefault="00DD182E" w:rsidP="00DB36C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36A"/>
    <w:multiLevelType w:val="hybridMultilevel"/>
    <w:tmpl w:val="B582B204"/>
    <w:lvl w:ilvl="0" w:tplc="21AE9C9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345E"/>
    <w:multiLevelType w:val="hybridMultilevel"/>
    <w:tmpl w:val="DC009022"/>
    <w:lvl w:ilvl="0" w:tplc="BCF0E26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A46"/>
    <w:multiLevelType w:val="hybridMultilevel"/>
    <w:tmpl w:val="8E3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187B"/>
    <w:multiLevelType w:val="hybridMultilevel"/>
    <w:tmpl w:val="CC2416F2"/>
    <w:lvl w:ilvl="0" w:tplc="9EB648B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F16"/>
    <w:rsid w:val="00000EB3"/>
    <w:rsid w:val="000050E6"/>
    <w:rsid w:val="000061C5"/>
    <w:rsid w:val="0000694F"/>
    <w:rsid w:val="000174BC"/>
    <w:rsid w:val="00025D72"/>
    <w:rsid w:val="00034202"/>
    <w:rsid w:val="000347EB"/>
    <w:rsid w:val="00043717"/>
    <w:rsid w:val="00052935"/>
    <w:rsid w:val="00054908"/>
    <w:rsid w:val="000702E4"/>
    <w:rsid w:val="00097AC7"/>
    <w:rsid w:val="000A1EB0"/>
    <w:rsid w:val="000A5B28"/>
    <w:rsid w:val="000B1EEA"/>
    <w:rsid w:val="000B558E"/>
    <w:rsid w:val="000B5AC0"/>
    <w:rsid w:val="000C3010"/>
    <w:rsid w:val="000D241A"/>
    <w:rsid w:val="000E566E"/>
    <w:rsid w:val="0011411B"/>
    <w:rsid w:val="001219DB"/>
    <w:rsid w:val="00124E6F"/>
    <w:rsid w:val="00130E20"/>
    <w:rsid w:val="00134742"/>
    <w:rsid w:val="00182DFA"/>
    <w:rsid w:val="001844B8"/>
    <w:rsid w:val="001A55E1"/>
    <w:rsid w:val="001C174C"/>
    <w:rsid w:val="001D65B8"/>
    <w:rsid w:val="001E1C1E"/>
    <w:rsid w:val="001E7B3E"/>
    <w:rsid w:val="002108F3"/>
    <w:rsid w:val="002407F9"/>
    <w:rsid w:val="00244516"/>
    <w:rsid w:val="002458E1"/>
    <w:rsid w:val="002553E9"/>
    <w:rsid w:val="0027401B"/>
    <w:rsid w:val="00290BD1"/>
    <w:rsid w:val="00292159"/>
    <w:rsid w:val="00293AF9"/>
    <w:rsid w:val="002A1643"/>
    <w:rsid w:val="002A1F26"/>
    <w:rsid w:val="002C463B"/>
    <w:rsid w:val="002C4FA7"/>
    <w:rsid w:val="002D604E"/>
    <w:rsid w:val="003101D6"/>
    <w:rsid w:val="00312CA7"/>
    <w:rsid w:val="003135B9"/>
    <w:rsid w:val="00327656"/>
    <w:rsid w:val="0032792B"/>
    <w:rsid w:val="00331FD4"/>
    <w:rsid w:val="00333876"/>
    <w:rsid w:val="003436B8"/>
    <w:rsid w:val="00347B1C"/>
    <w:rsid w:val="00367369"/>
    <w:rsid w:val="003C0B81"/>
    <w:rsid w:val="003C4B0C"/>
    <w:rsid w:val="003C5142"/>
    <w:rsid w:val="003F3C9B"/>
    <w:rsid w:val="0045398B"/>
    <w:rsid w:val="004E2232"/>
    <w:rsid w:val="004F17A5"/>
    <w:rsid w:val="005055FD"/>
    <w:rsid w:val="005065E1"/>
    <w:rsid w:val="0051644F"/>
    <w:rsid w:val="00527017"/>
    <w:rsid w:val="00547F9B"/>
    <w:rsid w:val="00550B69"/>
    <w:rsid w:val="00561327"/>
    <w:rsid w:val="005A0F41"/>
    <w:rsid w:val="005B501A"/>
    <w:rsid w:val="005C064F"/>
    <w:rsid w:val="005C67C7"/>
    <w:rsid w:val="005D3F3F"/>
    <w:rsid w:val="005F2BD7"/>
    <w:rsid w:val="00602F90"/>
    <w:rsid w:val="006178D4"/>
    <w:rsid w:val="00636F8E"/>
    <w:rsid w:val="00642CE4"/>
    <w:rsid w:val="00662C84"/>
    <w:rsid w:val="00681E23"/>
    <w:rsid w:val="00687384"/>
    <w:rsid w:val="006B16F4"/>
    <w:rsid w:val="006C106B"/>
    <w:rsid w:val="00714902"/>
    <w:rsid w:val="007212AF"/>
    <w:rsid w:val="00754FE2"/>
    <w:rsid w:val="00765328"/>
    <w:rsid w:val="0077761A"/>
    <w:rsid w:val="00792C3A"/>
    <w:rsid w:val="007A41F6"/>
    <w:rsid w:val="007B2509"/>
    <w:rsid w:val="007B27D8"/>
    <w:rsid w:val="007B6F33"/>
    <w:rsid w:val="007C6199"/>
    <w:rsid w:val="007D1122"/>
    <w:rsid w:val="007E28A5"/>
    <w:rsid w:val="007E5ECF"/>
    <w:rsid w:val="007E6A56"/>
    <w:rsid w:val="008104EE"/>
    <w:rsid w:val="00812B9B"/>
    <w:rsid w:val="00823469"/>
    <w:rsid w:val="00825FD3"/>
    <w:rsid w:val="00850357"/>
    <w:rsid w:val="00864BCD"/>
    <w:rsid w:val="008823AF"/>
    <w:rsid w:val="00883703"/>
    <w:rsid w:val="00894F16"/>
    <w:rsid w:val="008D6B09"/>
    <w:rsid w:val="009174DE"/>
    <w:rsid w:val="009339F2"/>
    <w:rsid w:val="00934484"/>
    <w:rsid w:val="00935736"/>
    <w:rsid w:val="00945B64"/>
    <w:rsid w:val="00976F84"/>
    <w:rsid w:val="00992212"/>
    <w:rsid w:val="009940F8"/>
    <w:rsid w:val="009A3809"/>
    <w:rsid w:val="009B7B11"/>
    <w:rsid w:val="009D7711"/>
    <w:rsid w:val="009E0A00"/>
    <w:rsid w:val="009E0ABE"/>
    <w:rsid w:val="009E6B64"/>
    <w:rsid w:val="009F0069"/>
    <w:rsid w:val="00A039F0"/>
    <w:rsid w:val="00A51FF1"/>
    <w:rsid w:val="00A52885"/>
    <w:rsid w:val="00A93708"/>
    <w:rsid w:val="00AB2958"/>
    <w:rsid w:val="00AF6EEE"/>
    <w:rsid w:val="00B03419"/>
    <w:rsid w:val="00B04BD1"/>
    <w:rsid w:val="00B14D8D"/>
    <w:rsid w:val="00B202ED"/>
    <w:rsid w:val="00B25017"/>
    <w:rsid w:val="00B3539E"/>
    <w:rsid w:val="00B410D9"/>
    <w:rsid w:val="00B44AF0"/>
    <w:rsid w:val="00B50B52"/>
    <w:rsid w:val="00B53A63"/>
    <w:rsid w:val="00B65153"/>
    <w:rsid w:val="00B72895"/>
    <w:rsid w:val="00B7318C"/>
    <w:rsid w:val="00BA7EF3"/>
    <w:rsid w:val="00BD247F"/>
    <w:rsid w:val="00BD3F87"/>
    <w:rsid w:val="00BE30C0"/>
    <w:rsid w:val="00C274CC"/>
    <w:rsid w:val="00C52783"/>
    <w:rsid w:val="00C55309"/>
    <w:rsid w:val="00C57D5B"/>
    <w:rsid w:val="00C63270"/>
    <w:rsid w:val="00C669EA"/>
    <w:rsid w:val="00C7103B"/>
    <w:rsid w:val="00C772E2"/>
    <w:rsid w:val="00C85FC3"/>
    <w:rsid w:val="00C938DA"/>
    <w:rsid w:val="00CE1460"/>
    <w:rsid w:val="00D178E3"/>
    <w:rsid w:val="00D24E61"/>
    <w:rsid w:val="00D57D80"/>
    <w:rsid w:val="00D63A9E"/>
    <w:rsid w:val="00D71954"/>
    <w:rsid w:val="00DA08B6"/>
    <w:rsid w:val="00DA4735"/>
    <w:rsid w:val="00DA6182"/>
    <w:rsid w:val="00DA7AB3"/>
    <w:rsid w:val="00DC19EF"/>
    <w:rsid w:val="00DC6C75"/>
    <w:rsid w:val="00DD182E"/>
    <w:rsid w:val="00DD18C7"/>
    <w:rsid w:val="00DD7261"/>
    <w:rsid w:val="00DE7712"/>
    <w:rsid w:val="00E10944"/>
    <w:rsid w:val="00E20779"/>
    <w:rsid w:val="00E2210E"/>
    <w:rsid w:val="00E222A7"/>
    <w:rsid w:val="00E27AA3"/>
    <w:rsid w:val="00E34ADD"/>
    <w:rsid w:val="00E34CAB"/>
    <w:rsid w:val="00E56283"/>
    <w:rsid w:val="00E57BFA"/>
    <w:rsid w:val="00E62ADC"/>
    <w:rsid w:val="00E75A81"/>
    <w:rsid w:val="00E75E57"/>
    <w:rsid w:val="00E765B9"/>
    <w:rsid w:val="00E94E47"/>
    <w:rsid w:val="00EA5727"/>
    <w:rsid w:val="00EA6BEC"/>
    <w:rsid w:val="00EB1176"/>
    <w:rsid w:val="00ED592F"/>
    <w:rsid w:val="00EE0890"/>
    <w:rsid w:val="00EF7E07"/>
    <w:rsid w:val="00F02D0C"/>
    <w:rsid w:val="00F07C09"/>
    <w:rsid w:val="00F25A2F"/>
    <w:rsid w:val="00F31107"/>
    <w:rsid w:val="00F31420"/>
    <w:rsid w:val="00F35B5A"/>
    <w:rsid w:val="00F40C17"/>
    <w:rsid w:val="00F41F95"/>
    <w:rsid w:val="00F56575"/>
    <w:rsid w:val="00F65EE6"/>
    <w:rsid w:val="00F7412D"/>
    <w:rsid w:val="00FC4EDE"/>
    <w:rsid w:val="00FD5928"/>
    <w:rsid w:val="00FD7061"/>
    <w:rsid w:val="00FE4867"/>
    <w:rsid w:val="00FF2EE0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24E6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lv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l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81CE-E608-4956-9693-ED49EAB5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21</cp:revision>
  <cp:lastPrinted>2020-11-16T07:19:00Z</cp:lastPrinted>
  <dcterms:created xsi:type="dcterms:W3CDTF">2017-10-23T12:34:00Z</dcterms:created>
  <dcterms:modified xsi:type="dcterms:W3CDTF">2020-11-16T07:20:00Z</dcterms:modified>
</cp:coreProperties>
</file>