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3702E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» на 2019-2021 годы</w:t>
      </w:r>
    </w:p>
    <w:p w:rsidR="002238B0" w:rsidRPr="00613DD8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эффективной </w:t>
      </w:r>
      <w:proofErr w:type="gramStart"/>
      <w:r w:rsidR="0023702E" w:rsidRPr="002370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3702E" w:rsidRPr="0023702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1E0FF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1E0FF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1E0FF1" w:rsidP="006E5A0F">
            <w:r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9C5A00" w:rsidRDefault="001E0FF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1E0FF1" w:rsidP="006E5A0F">
            <w:r>
              <w:t>9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E07150" w:rsidRDefault="003F02C0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1E0FF1" w:rsidP="006E5A0F">
            <w:r>
              <w:t>400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3F02C0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3F02C0" w:rsidRPr="005D2277" w:rsidRDefault="00463881" w:rsidP="003F02C0">
            <w:r w:rsidRPr="005D2277">
              <w:t>Количество семинаров, круглых столов, мастер-классов по вопросам развития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1E0FF1" w:rsidP="006E5A0F">
            <w:r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3F02C0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гражданских активистов и добровольцев, привлекаемых СОНКО,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1E0FF1" w:rsidP="006E5A0F">
            <w:r>
              <w:t>300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3F02C0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200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размещенной информации, публикации, телепередач о деятельности СОНКО и ОО в СМИ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70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консультаций, полученных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1E0FF1" w:rsidP="006E5A0F">
            <w:r>
              <w:t>10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3F02C0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СОНКО, которым оказана имущественная поддержка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0E27CA"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0A3"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 w:rsidRPr="005E10A3">
        <w:rPr>
          <w:rFonts w:ascii="Times New Roman" w:hAnsi="Times New Roman" w:cs="Times New Roman"/>
          <w:sz w:val="28"/>
          <w:szCs w:val="28"/>
        </w:rPr>
        <w:t>(</w:t>
      </w:r>
      <w:r w:rsidR="009C5BD5" w:rsidRPr="005E1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10A3" w:rsidRPr="005E10A3">
        <w:rPr>
          <w:rFonts w:ascii="Times New Roman" w:hAnsi="Times New Roman" w:cs="Times New Roman"/>
          <w:sz w:val="28"/>
          <w:szCs w:val="28"/>
        </w:rPr>
        <w:t>1</w:t>
      </w:r>
      <w:r w:rsidR="006A181C" w:rsidRPr="005E10A3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5E10A3">
        <w:rPr>
          <w:rFonts w:ascii="Times New Roman" w:hAnsi="Times New Roman" w:cs="Times New Roman"/>
          <w:sz w:val="28"/>
          <w:szCs w:val="28"/>
        </w:rPr>
        <w:t>/</w:t>
      </w:r>
      <w:r w:rsidR="00613DD8" w:rsidRPr="005E10A3">
        <w:rPr>
          <w:rFonts w:ascii="Times New Roman" w:hAnsi="Times New Roman" w:cs="Times New Roman"/>
          <w:sz w:val="28"/>
          <w:szCs w:val="28"/>
        </w:rPr>
        <w:t xml:space="preserve"> </w:t>
      </w:r>
      <w:r w:rsidR="005E10A3" w:rsidRPr="005E10A3">
        <w:rPr>
          <w:rFonts w:ascii="Times New Roman" w:hAnsi="Times New Roman" w:cs="Times New Roman"/>
          <w:sz w:val="28"/>
          <w:szCs w:val="28"/>
        </w:rPr>
        <w:t>1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D93387" w:rsidRDefault="00D93387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709"/>
        <w:gridCol w:w="1729"/>
        <w:gridCol w:w="1843"/>
        <w:gridCol w:w="1701"/>
        <w:gridCol w:w="1269"/>
      </w:tblGrid>
      <w:tr w:rsidR="00AF6612" w:rsidTr="006E5A0F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572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E5A0F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3F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3F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E5A0F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A0F" w:rsidTr="006E5A0F">
        <w:tc>
          <w:tcPr>
            <w:tcW w:w="704" w:type="dxa"/>
          </w:tcPr>
          <w:p w:rsidR="006E5A0F" w:rsidRPr="00CA4AC2" w:rsidRDefault="006E5A0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6E5A0F" w:rsidRPr="002E49C4" w:rsidRDefault="006E5A0F" w:rsidP="006E5A0F">
            <w:r w:rsidRPr="002E49C4">
              <w:t>Организация и проведение районных конкурсов социальных проектов</w:t>
            </w:r>
          </w:p>
        </w:tc>
        <w:tc>
          <w:tcPr>
            <w:tcW w:w="709" w:type="dxa"/>
          </w:tcPr>
          <w:p w:rsidR="006E5A0F" w:rsidRPr="00CA4AC2" w:rsidRDefault="004B7169" w:rsidP="004B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5A0F" w:rsidRPr="00F82B43">
              <w:rPr>
                <w:rFonts w:ascii="Times New Roman" w:hAnsi="Times New Roman" w:cs="Times New Roman"/>
              </w:rPr>
              <w:t>Р</w:t>
            </w:r>
            <w:proofErr w:type="gramEnd"/>
            <w:r w:rsidR="006E5A0F" w:rsidRPr="00F82B43">
              <w:rPr>
                <w:rFonts w:ascii="Times New Roman" w:hAnsi="Times New Roman" w:cs="Times New Roman"/>
              </w:rPr>
              <w:t>уб</w:t>
            </w:r>
            <w:proofErr w:type="spellEnd"/>
            <w:r w:rsidR="006E5A0F" w:rsidRPr="00CA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6E5A0F" w:rsidRPr="00D34341" w:rsidRDefault="006E5A0F" w:rsidP="006E5A0F">
            <w:r w:rsidRPr="00D34341">
              <w:t>0</w:t>
            </w:r>
          </w:p>
        </w:tc>
        <w:tc>
          <w:tcPr>
            <w:tcW w:w="1843" w:type="dxa"/>
          </w:tcPr>
          <w:p w:rsidR="006E5A0F" w:rsidRPr="00F82B43" w:rsidRDefault="00F82B43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E5A0F" w:rsidRPr="00463881" w:rsidRDefault="00F82B43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6E5A0F" w:rsidRPr="00463881" w:rsidRDefault="00463881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4B7169" w:rsidRDefault="004B7169" w:rsidP="006E5A0F">
            <w:r w:rsidRPr="002E49C4"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34341" w:rsidRDefault="004B7169" w:rsidP="006E5A0F">
            <w:r>
              <w:t>0</w:t>
            </w:r>
          </w:p>
        </w:tc>
        <w:tc>
          <w:tcPr>
            <w:tcW w:w="1843" w:type="dxa"/>
          </w:tcPr>
          <w:p w:rsidR="004B7169" w:rsidRPr="00F82B43" w:rsidRDefault="004B7169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4B7169" w:rsidRPr="00BB2868" w:rsidRDefault="004B7169" w:rsidP="006E5A0F">
            <w:r w:rsidRPr="00BB2868">
              <w:t>Освещение деятельности СОНКО и ОО в средствах массовой информации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4B7169" w:rsidP="003F02C0">
            <w:r w:rsidRPr="00651736">
              <w:t>3</w:t>
            </w:r>
            <w:r>
              <w:t>0</w:t>
            </w:r>
            <w:r w:rsidRPr="00651736">
              <w:t>*</w:t>
            </w:r>
          </w:p>
        </w:tc>
        <w:tc>
          <w:tcPr>
            <w:tcW w:w="1843" w:type="dxa"/>
          </w:tcPr>
          <w:p w:rsidR="004B7169" w:rsidRPr="00F82B43" w:rsidRDefault="004B7169" w:rsidP="004B7169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4B7169" w:rsidRDefault="004B7169" w:rsidP="006E5A0F">
            <w:r w:rsidRPr="00BB2868"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4B7169" w:rsidP="006E5A0F">
            <w:r w:rsidRPr="00651736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4B7169" w:rsidRPr="00B017E3" w:rsidRDefault="004B7169" w:rsidP="006E5A0F">
            <w:r w:rsidRPr="00B017E3"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965DD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4B7169" w:rsidRDefault="004B7169" w:rsidP="006E5A0F">
            <w:r w:rsidRPr="00B017E3"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B017E3">
              <w:t>Клявлинского</w:t>
            </w:r>
            <w:proofErr w:type="spellEnd"/>
            <w:r w:rsidRPr="00B017E3">
              <w:t xml:space="preserve"> района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4B7169" w:rsidRPr="006E5A0F" w:rsidRDefault="004B7169" w:rsidP="00201C42">
            <w:pPr>
              <w:jc w:val="both"/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Обеспечение деятельности общественного совета при органах местного самоуправления муниципального района </w:t>
            </w:r>
            <w:proofErr w:type="spellStart"/>
            <w:r w:rsidRPr="006E5A0F">
              <w:rPr>
                <w:rFonts w:cstheme="minorHAnsi"/>
              </w:rPr>
              <w:t>Клявлинский</w:t>
            </w:r>
            <w:proofErr w:type="spellEnd"/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dxa"/>
          </w:tcPr>
          <w:p w:rsidR="004B7169" w:rsidRPr="006E5A0F" w:rsidRDefault="004B7169" w:rsidP="006E5A0F">
            <w:pPr>
              <w:rPr>
                <w:rFonts w:cstheme="minorHAnsi"/>
              </w:rPr>
            </w:pPr>
            <w:r w:rsidRPr="006E5A0F">
              <w:rPr>
                <w:rFonts w:cstheme="minorHAnsi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F0419C" w:rsidRDefault="004B7169" w:rsidP="006E5A0F">
            <w:r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4B7169" w:rsidRPr="00EE6E80" w:rsidRDefault="004B7169" w:rsidP="006E5A0F">
            <w:r w:rsidRPr="00EE6E80">
              <w:t>Проведение художественных, декоративно-прикладных выставок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3F02C0">
            <w:r w:rsidRPr="00F0419C">
              <w:t>2</w:t>
            </w:r>
            <w:r>
              <w:t>5</w:t>
            </w:r>
            <w:r w:rsidRPr="00F0419C">
              <w:t>**</w:t>
            </w:r>
          </w:p>
        </w:tc>
        <w:tc>
          <w:tcPr>
            <w:tcW w:w="1843" w:type="dxa"/>
          </w:tcPr>
          <w:p w:rsidR="004B7169" w:rsidRPr="00F82B43" w:rsidRDefault="004B7169" w:rsidP="004B7169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5**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4B7169" w:rsidRDefault="004B7169" w:rsidP="006E5A0F">
            <w:r w:rsidRPr="00EE6E80">
              <w:t>Организация и проведение районного конкурса "Общественное признание"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4B7169" w:rsidRPr="008013F1" w:rsidRDefault="004B7169" w:rsidP="006E5A0F">
            <w:r w:rsidRPr="008013F1"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B42C77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4B7169" w:rsidRDefault="004B7169" w:rsidP="006E5A0F">
            <w:r w:rsidRPr="008013F1"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Pr="00890DDA" w:rsidRDefault="004B7169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B7169" w:rsidRPr="00F623FB" w:rsidRDefault="004B7169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7B14B1" w:rsidRDefault="004B7169" w:rsidP="00C81635">
            <w:r>
              <w:t>55,00</w:t>
            </w:r>
          </w:p>
        </w:tc>
        <w:tc>
          <w:tcPr>
            <w:tcW w:w="1843" w:type="dxa"/>
          </w:tcPr>
          <w:p w:rsidR="004B7169" w:rsidRDefault="004B7169" w:rsidP="004B7169">
            <w:r>
              <w:t>55,00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A3">
        <w:rPr>
          <w:rFonts w:ascii="Times New Roman" w:hAnsi="Times New Roman" w:cs="Times New Roman"/>
          <w:sz w:val="28"/>
          <w:szCs w:val="28"/>
        </w:rPr>
        <w:t xml:space="preserve">= </w:t>
      </w:r>
      <w:r w:rsidR="00D93387" w:rsidRPr="005E10A3">
        <w:rPr>
          <w:rFonts w:ascii="Times New Roman" w:hAnsi="Times New Roman" w:cs="Times New Roman"/>
          <w:sz w:val="28"/>
          <w:szCs w:val="28"/>
        </w:rPr>
        <w:t>55</w:t>
      </w:r>
      <w:r w:rsidR="004F7594" w:rsidRPr="005E10A3">
        <w:rPr>
          <w:rFonts w:ascii="Times New Roman" w:hAnsi="Times New Roman" w:cs="Times New Roman"/>
          <w:sz w:val="28"/>
          <w:szCs w:val="28"/>
        </w:rPr>
        <w:t xml:space="preserve">/ </w:t>
      </w:r>
      <w:r w:rsidR="00D93387" w:rsidRPr="005E10A3">
        <w:rPr>
          <w:rFonts w:ascii="Times New Roman" w:hAnsi="Times New Roman" w:cs="Times New Roman"/>
          <w:sz w:val="28"/>
          <w:szCs w:val="28"/>
        </w:rPr>
        <w:t>55</w:t>
      </w:r>
      <w:r w:rsidR="004F7594" w:rsidRPr="005E10A3">
        <w:rPr>
          <w:rFonts w:ascii="Times New Roman" w:hAnsi="Times New Roman" w:cs="Times New Roman"/>
          <w:sz w:val="28"/>
          <w:szCs w:val="28"/>
        </w:rPr>
        <w:t>*</w:t>
      </w:r>
      <w:r w:rsidR="004F7594">
        <w:rPr>
          <w:rFonts w:ascii="Times New Roman" w:hAnsi="Times New Roman" w:cs="Times New Roman"/>
          <w:sz w:val="28"/>
          <w:szCs w:val="28"/>
        </w:rPr>
        <w:t xml:space="preserve"> 100 =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D93387" w:rsidRDefault="00D93387" w:rsidP="006929D4">
      <w:pPr>
        <w:rPr>
          <w:rFonts w:ascii="Times New Roman" w:hAnsi="Times New Roman" w:cs="Times New Roman"/>
          <w:sz w:val="28"/>
          <w:szCs w:val="28"/>
        </w:rPr>
      </w:pP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93387" w:rsidRDefault="00D93387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4B7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4B7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F82B43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AB0A14" w:rsidRPr="00AE46A1" w:rsidRDefault="00F82B43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46388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F82B4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260E21" w:rsidRPr="00AE46A1" w:rsidRDefault="008631BA" w:rsidP="00F82B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4B71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F82B43" w:rsidRPr="00F82B4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82B43" w:rsidRPr="00F82B43">
        <w:rPr>
          <w:rFonts w:ascii="Times New Roman" w:hAnsi="Times New Roman" w:cs="Times New Roman"/>
          <w:sz w:val="28"/>
          <w:szCs w:val="28"/>
        </w:rPr>
        <w:t>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0D1B">
        <w:rPr>
          <w:rFonts w:ascii="Times New Roman" w:hAnsi="Times New Roman" w:cs="Times New Roman"/>
          <w:sz w:val="28"/>
          <w:szCs w:val="28"/>
        </w:rPr>
        <w:t xml:space="preserve">99,5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2C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B43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10F14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«Управления делами»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О.Г.Лахно</w:t>
      </w:r>
      <w:proofErr w:type="spellEnd"/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E0FF1"/>
    <w:rsid w:val="001F3203"/>
    <w:rsid w:val="00201C42"/>
    <w:rsid w:val="002238B0"/>
    <w:rsid w:val="0023702E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3F02C0"/>
    <w:rsid w:val="0041120A"/>
    <w:rsid w:val="004112D5"/>
    <w:rsid w:val="004143D0"/>
    <w:rsid w:val="00450CB6"/>
    <w:rsid w:val="00463881"/>
    <w:rsid w:val="00485F2B"/>
    <w:rsid w:val="004B7169"/>
    <w:rsid w:val="004C7A2C"/>
    <w:rsid w:val="004F7594"/>
    <w:rsid w:val="00502985"/>
    <w:rsid w:val="00502B75"/>
    <w:rsid w:val="0056088A"/>
    <w:rsid w:val="00576133"/>
    <w:rsid w:val="0057748E"/>
    <w:rsid w:val="00582073"/>
    <w:rsid w:val="005A4854"/>
    <w:rsid w:val="005E10A3"/>
    <w:rsid w:val="005F74E1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5A0F"/>
    <w:rsid w:val="00710D1B"/>
    <w:rsid w:val="00717683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6A11"/>
    <w:rsid w:val="009502B2"/>
    <w:rsid w:val="00953094"/>
    <w:rsid w:val="00954BB5"/>
    <w:rsid w:val="00986ACF"/>
    <w:rsid w:val="0098794E"/>
    <w:rsid w:val="009B0358"/>
    <w:rsid w:val="009B4DDC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72217"/>
    <w:rsid w:val="00C87819"/>
    <w:rsid w:val="00CA4AC2"/>
    <w:rsid w:val="00CA4FFD"/>
    <w:rsid w:val="00CB4CBD"/>
    <w:rsid w:val="00CC7CEA"/>
    <w:rsid w:val="00D02295"/>
    <w:rsid w:val="00D7492A"/>
    <w:rsid w:val="00D93387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23FB"/>
    <w:rsid w:val="00F631D1"/>
    <w:rsid w:val="00F67F22"/>
    <w:rsid w:val="00F81221"/>
    <w:rsid w:val="00F82B43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BB64-432E-4BB9-833C-4F68250A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34</cp:revision>
  <cp:lastPrinted>2018-02-28T10:30:00Z</cp:lastPrinted>
  <dcterms:created xsi:type="dcterms:W3CDTF">2018-02-28T10:04:00Z</dcterms:created>
  <dcterms:modified xsi:type="dcterms:W3CDTF">2021-02-19T10:31:00Z</dcterms:modified>
</cp:coreProperties>
</file>